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A6C8A5">
      <w:pPr>
        <w:spacing w:line="360" w:lineRule="auto"/>
        <w:jc w:val="center"/>
        <w:outlineLvl w:val="0"/>
        <w:rPr>
          <w:b/>
          <w:sz w:val="36"/>
          <w:szCs w:val="36"/>
          <w:highlight w:val="none"/>
        </w:rPr>
      </w:pPr>
      <w:r>
        <w:rPr>
          <w:b/>
          <w:sz w:val="36"/>
          <w:szCs w:val="36"/>
          <w:highlight w:val="none"/>
        </w:rPr>
        <w:t>采购需求</w:t>
      </w:r>
    </w:p>
    <w:p w14:paraId="4E7E01FE">
      <w:pPr>
        <w:pStyle w:val="8"/>
        <w:numPr>
          <w:ilvl w:val="0"/>
          <w:numId w:val="2"/>
        </w:numPr>
        <w:spacing w:line="560" w:lineRule="exact"/>
        <w:ind w:firstLineChars="0"/>
        <w:contextualSpacing/>
        <w:outlineLvl w:val="0"/>
        <w:rPr>
          <w:rFonts w:hint="eastAsia" w:ascii="宋体" w:hAnsi="宋体" w:cs="宋体"/>
          <w:b/>
          <w:sz w:val="24"/>
          <w:szCs w:val="24"/>
          <w:highlight w:val="none"/>
        </w:rPr>
      </w:pPr>
      <w:r>
        <w:rPr>
          <w:rFonts w:hint="eastAsia" w:ascii="宋体" w:hAnsi="宋体" w:cs="宋体"/>
          <w:b/>
          <w:sz w:val="24"/>
          <w:szCs w:val="24"/>
          <w:highlight w:val="none"/>
        </w:rPr>
        <w:t>采购标的</w:t>
      </w:r>
    </w:p>
    <w:p w14:paraId="2D8F6E8C">
      <w:pPr>
        <w:spacing w:line="560" w:lineRule="exact"/>
        <w:ind w:firstLine="480" w:firstLineChars="200"/>
        <w:contextualSpacing/>
        <w:outlineLvl w:val="1"/>
        <w:rPr>
          <w:rFonts w:hint="eastAsia"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sz w:val="24"/>
          <w:highlight w:val="none"/>
        </w:rPr>
        <w:t>1、采购标的（本项目不接受进口产品参与投标）</w:t>
      </w:r>
    </w:p>
    <w:p w14:paraId="5624570A">
      <w:pPr>
        <w:spacing w:line="560" w:lineRule="exact"/>
        <w:ind w:firstLine="480" w:firstLineChars="200"/>
        <w:contextualSpacing/>
        <w:rPr>
          <w:rFonts w:hint="eastAsia" w:ascii="宋体" w:hAnsi="宋体" w:cs="宋体"/>
          <w:sz w:val="24"/>
          <w:highlight w:val="none"/>
        </w:rPr>
      </w:pPr>
      <w:r>
        <w:rPr>
          <w:rFonts w:hint="eastAsia" w:ascii="宋体" w:hAnsi="宋体" w:cs="宋体"/>
          <w:sz w:val="24"/>
          <w:highlight w:val="none"/>
        </w:rPr>
        <w:t>本次采购包括台式计算机（含操作系统）和便携式计算机（含操作系统），采购清单如下：</w:t>
      </w:r>
    </w:p>
    <w:tbl>
      <w:tblPr>
        <w:tblStyle w:val="4"/>
        <w:tblpPr w:leftFromText="180" w:rightFromText="180" w:vertAnchor="text" w:horzAnchor="page" w:tblpX="1286" w:tblpY="541"/>
        <w:tblOverlap w:val="never"/>
        <w:tblW w:w="85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1"/>
        <w:gridCol w:w="1895"/>
        <w:gridCol w:w="1413"/>
        <w:gridCol w:w="1447"/>
        <w:gridCol w:w="1456"/>
        <w:gridCol w:w="1711"/>
      </w:tblGrid>
      <w:tr w14:paraId="42980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671" w:type="dxa"/>
            <w:vAlign w:val="center"/>
          </w:tcPr>
          <w:p w14:paraId="2B64E9A1"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highlight w:val="none"/>
              </w:rPr>
              <w:t>序号</w:t>
            </w:r>
          </w:p>
        </w:tc>
        <w:tc>
          <w:tcPr>
            <w:tcW w:w="1895" w:type="dxa"/>
            <w:vAlign w:val="center"/>
          </w:tcPr>
          <w:p w14:paraId="1E59D802"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highlight w:val="none"/>
              </w:rPr>
              <w:t>类型</w:t>
            </w:r>
          </w:p>
        </w:tc>
        <w:tc>
          <w:tcPr>
            <w:tcW w:w="1413" w:type="dxa"/>
            <w:vAlign w:val="center"/>
          </w:tcPr>
          <w:p w14:paraId="5E359E1C"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highlight w:val="none"/>
              </w:rPr>
              <w:t>数量</w:t>
            </w:r>
          </w:p>
        </w:tc>
        <w:tc>
          <w:tcPr>
            <w:tcW w:w="1447" w:type="dxa"/>
            <w:vAlign w:val="center"/>
          </w:tcPr>
          <w:p w14:paraId="74FDFF25"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highlight w:val="none"/>
              </w:rPr>
              <w:t>单位</w:t>
            </w:r>
          </w:p>
        </w:tc>
        <w:tc>
          <w:tcPr>
            <w:tcW w:w="1456" w:type="dxa"/>
            <w:vAlign w:val="center"/>
          </w:tcPr>
          <w:p w14:paraId="2FF88DF8"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highlight w:val="none"/>
              </w:rPr>
              <w:t>最高限价</w:t>
            </w:r>
          </w:p>
        </w:tc>
        <w:tc>
          <w:tcPr>
            <w:tcW w:w="1711" w:type="dxa"/>
            <w:vAlign w:val="center"/>
          </w:tcPr>
          <w:p w14:paraId="7CC29D52"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highlight w:val="none"/>
              </w:rPr>
              <w:t>备注（核心产品）</w:t>
            </w:r>
          </w:p>
        </w:tc>
      </w:tr>
      <w:tr w14:paraId="46163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1" w:type="dxa"/>
            <w:vAlign w:val="center"/>
          </w:tcPr>
          <w:p w14:paraId="5844245D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1</w:t>
            </w:r>
          </w:p>
        </w:tc>
        <w:tc>
          <w:tcPr>
            <w:tcW w:w="1895" w:type="dxa"/>
            <w:vAlign w:val="center"/>
          </w:tcPr>
          <w:p w14:paraId="567C2DC9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台式计算机</w:t>
            </w:r>
          </w:p>
          <w:p w14:paraId="6C692B71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（含操作系统）</w:t>
            </w:r>
          </w:p>
        </w:tc>
        <w:tc>
          <w:tcPr>
            <w:tcW w:w="1413" w:type="dxa"/>
            <w:vAlign w:val="center"/>
          </w:tcPr>
          <w:p w14:paraId="08E4BEF2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203</w:t>
            </w:r>
          </w:p>
        </w:tc>
        <w:tc>
          <w:tcPr>
            <w:tcW w:w="1447" w:type="dxa"/>
            <w:vAlign w:val="center"/>
          </w:tcPr>
          <w:p w14:paraId="28A24D84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台</w:t>
            </w:r>
          </w:p>
        </w:tc>
        <w:tc>
          <w:tcPr>
            <w:tcW w:w="1456" w:type="dxa"/>
            <w:vAlign w:val="center"/>
          </w:tcPr>
          <w:p w14:paraId="5DEC4EBE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5000元</w:t>
            </w:r>
          </w:p>
        </w:tc>
        <w:tc>
          <w:tcPr>
            <w:tcW w:w="1711" w:type="dxa"/>
            <w:vAlign w:val="center"/>
          </w:tcPr>
          <w:p w14:paraId="02FF44FC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highlight w:val="none"/>
              </w:rPr>
              <w:t>是</w:t>
            </w:r>
          </w:p>
        </w:tc>
      </w:tr>
      <w:tr w14:paraId="4997B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1" w:type="dxa"/>
            <w:vAlign w:val="center"/>
          </w:tcPr>
          <w:p w14:paraId="30A8F77E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2</w:t>
            </w:r>
          </w:p>
        </w:tc>
        <w:tc>
          <w:tcPr>
            <w:tcW w:w="1895" w:type="dxa"/>
            <w:vAlign w:val="center"/>
          </w:tcPr>
          <w:p w14:paraId="337971F2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便携式计算机（含操作系统）</w:t>
            </w:r>
          </w:p>
        </w:tc>
        <w:tc>
          <w:tcPr>
            <w:tcW w:w="1413" w:type="dxa"/>
            <w:vAlign w:val="center"/>
          </w:tcPr>
          <w:p w14:paraId="0B2DE8C1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50</w:t>
            </w:r>
          </w:p>
        </w:tc>
        <w:tc>
          <w:tcPr>
            <w:tcW w:w="1447" w:type="dxa"/>
            <w:vAlign w:val="center"/>
          </w:tcPr>
          <w:p w14:paraId="0E5CFB19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台</w:t>
            </w:r>
          </w:p>
        </w:tc>
        <w:tc>
          <w:tcPr>
            <w:tcW w:w="1456" w:type="dxa"/>
            <w:vAlign w:val="center"/>
          </w:tcPr>
          <w:p w14:paraId="2C55CDDC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7000元</w:t>
            </w:r>
          </w:p>
        </w:tc>
        <w:tc>
          <w:tcPr>
            <w:tcW w:w="1711" w:type="dxa"/>
            <w:vAlign w:val="center"/>
          </w:tcPr>
          <w:p w14:paraId="2E905D73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highlight w:val="none"/>
              </w:rPr>
              <w:t>否</w:t>
            </w:r>
          </w:p>
        </w:tc>
      </w:tr>
    </w:tbl>
    <w:p w14:paraId="191FC139">
      <w:pPr>
        <w:spacing w:line="560" w:lineRule="exact"/>
        <w:ind w:firstLine="480" w:firstLineChars="200"/>
        <w:contextualSpacing/>
        <w:rPr>
          <w:rFonts w:hint="eastAsia" w:ascii="宋体" w:hAnsi="宋体" w:cs="宋体"/>
          <w:sz w:val="24"/>
          <w:highlight w:val="none"/>
        </w:rPr>
      </w:pPr>
    </w:p>
    <w:p w14:paraId="13D88143">
      <w:pPr>
        <w:spacing w:line="560" w:lineRule="exact"/>
        <w:ind w:firstLine="482" w:firstLineChars="200"/>
        <w:contextualSpacing/>
        <w:rPr>
          <w:rFonts w:hint="eastAsia" w:ascii="宋体" w:hAnsi="宋体" w:cs="宋体"/>
          <w:b/>
          <w:bCs/>
          <w:sz w:val="24"/>
          <w:highlight w:val="none"/>
        </w:rPr>
      </w:pPr>
    </w:p>
    <w:p w14:paraId="2B11F777">
      <w:pPr>
        <w:spacing w:line="560" w:lineRule="exact"/>
        <w:ind w:firstLine="482" w:firstLineChars="200"/>
        <w:contextualSpacing/>
        <w:rPr>
          <w:rFonts w:hint="eastAsia" w:ascii="宋体" w:hAnsi="宋体" w:cs="宋体"/>
          <w:b/>
          <w:bCs/>
          <w:sz w:val="24"/>
          <w:highlight w:val="none"/>
        </w:rPr>
      </w:pPr>
    </w:p>
    <w:p w14:paraId="176A05BE">
      <w:pPr>
        <w:spacing w:line="560" w:lineRule="exact"/>
        <w:ind w:firstLine="482" w:firstLineChars="200"/>
        <w:contextualSpacing/>
        <w:rPr>
          <w:rFonts w:hint="eastAsia" w:ascii="宋体" w:hAnsi="宋体" w:cs="宋体"/>
          <w:b/>
          <w:bCs/>
          <w:sz w:val="24"/>
          <w:highlight w:val="none"/>
        </w:rPr>
      </w:pPr>
    </w:p>
    <w:p w14:paraId="2F20BC1E">
      <w:pPr>
        <w:spacing w:line="560" w:lineRule="exact"/>
        <w:ind w:firstLine="482" w:firstLineChars="200"/>
        <w:contextualSpacing/>
        <w:rPr>
          <w:rFonts w:hint="eastAsia" w:ascii="宋体" w:hAnsi="宋体" w:cs="宋体"/>
          <w:b/>
          <w:bCs/>
          <w:sz w:val="24"/>
          <w:highlight w:val="none"/>
        </w:rPr>
      </w:pPr>
    </w:p>
    <w:p w14:paraId="18111A71">
      <w:pPr>
        <w:spacing w:line="560" w:lineRule="exact"/>
        <w:ind w:firstLine="482" w:firstLineChars="200"/>
        <w:contextualSpacing/>
        <w:rPr>
          <w:rFonts w:hint="eastAsia" w:ascii="宋体" w:hAnsi="宋体" w:cs="宋体"/>
          <w:b/>
          <w:bCs/>
          <w:sz w:val="24"/>
          <w:highlight w:val="none"/>
        </w:rPr>
      </w:pPr>
    </w:p>
    <w:p w14:paraId="71638F29">
      <w:pPr>
        <w:spacing w:line="560" w:lineRule="exact"/>
        <w:ind w:firstLine="482" w:firstLineChars="200"/>
        <w:contextualSpacing/>
        <w:rPr>
          <w:rFonts w:hint="eastAsia" w:ascii="宋体" w:hAnsi="宋体" w:cs="宋体"/>
          <w:b/>
          <w:bCs/>
          <w:sz w:val="24"/>
          <w:highlight w:val="none"/>
        </w:rPr>
      </w:pPr>
    </w:p>
    <w:p w14:paraId="2146A421">
      <w:pPr>
        <w:spacing w:line="560" w:lineRule="exact"/>
        <w:ind w:firstLine="482" w:firstLineChars="200"/>
        <w:contextualSpacing/>
        <w:rPr>
          <w:rFonts w:hint="eastAsia" w:ascii="宋体" w:hAnsi="宋体" w:cs="宋体"/>
          <w:b/>
          <w:bCs/>
          <w:sz w:val="24"/>
          <w:highlight w:val="none"/>
        </w:rPr>
      </w:pPr>
      <w:r>
        <w:rPr>
          <w:rFonts w:hint="eastAsia" w:ascii="宋体" w:hAnsi="宋体" w:cs="宋体"/>
          <w:b/>
          <w:bCs/>
          <w:sz w:val="24"/>
          <w:highlight w:val="none"/>
        </w:rPr>
        <w:t>注：</w:t>
      </w:r>
    </w:p>
    <w:p w14:paraId="54B28793">
      <w:pPr>
        <w:spacing w:line="560" w:lineRule="exact"/>
        <w:ind w:firstLine="480" w:firstLineChars="200"/>
        <w:contextualSpacing/>
        <w:rPr>
          <w:rFonts w:hint="eastAsia" w:ascii="宋体" w:hAnsi="宋体" w:cs="宋体"/>
          <w:b/>
          <w:bCs/>
          <w:sz w:val="24"/>
          <w:highlight w:val="none"/>
        </w:rPr>
      </w:pPr>
      <w:r>
        <w:rPr>
          <w:rFonts w:hint="eastAsia" w:ascii="宋体" w:hAnsi="宋体" w:cs="宋体"/>
          <w:color w:val="000000"/>
          <w:kern w:val="0"/>
          <w:sz w:val="24"/>
          <w:highlight w:val="none"/>
          <w:lang w:bidi="ar"/>
        </w:rPr>
        <w:t>★1</w:t>
      </w:r>
      <w:r>
        <w:rPr>
          <w:rFonts w:hint="eastAsia" w:ascii="宋体" w:hAnsi="宋体" w:cs="宋体"/>
          <w:b/>
          <w:bCs/>
          <w:sz w:val="24"/>
          <w:highlight w:val="none"/>
        </w:rPr>
        <w:t>.台式计算机（含操作系统）最高限价为5000元，不得超过投标最高限价，否则作无效投标处理。</w:t>
      </w:r>
    </w:p>
    <w:p w14:paraId="52C8A5BF">
      <w:pPr>
        <w:spacing w:line="560" w:lineRule="exact"/>
        <w:ind w:firstLine="480" w:firstLineChars="200"/>
        <w:contextualSpacing/>
        <w:rPr>
          <w:rFonts w:hint="eastAsia" w:ascii="宋体" w:hAnsi="宋体" w:cs="宋体"/>
          <w:b/>
          <w:bCs/>
          <w:sz w:val="24"/>
          <w:highlight w:val="none"/>
        </w:rPr>
      </w:pPr>
      <w:r>
        <w:rPr>
          <w:rFonts w:hint="eastAsia" w:ascii="宋体" w:hAnsi="宋体" w:cs="宋体"/>
          <w:color w:val="000000"/>
          <w:kern w:val="0"/>
          <w:sz w:val="24"/>
          <w:highlight w:val="none"/>
          <w:lang w:bidi="ar"/>
        </w:rPr>
        <w:t>★2</w:t>
      </w:r>
      <w:r>
        <w:rPr>
          <w:rFonts w:hint="eastAsia" w:ascii="宋体" w:hAnsi="宋体" w:cs="宋体"/>
          <w:b/>
          <w:bCs/>
          <w:sz w:val="24"/>
          <w:highlight w:val="none"/>
        </w:rPr>
        <w:t>.便携式计算机（含操作系统）最高限价为7000元，不得超过投标最高限价，否则作无效投标处理。</w:t>
      </w:r>
    </w:p>
    <w:p w14:paraId="6E98A6A3">
      <w:pPr>
        <w:tabs>
          <w:tab w:val="left" w:pos="567"/>
        </w:tabs>
        <w:spacing w:line="560" w:lineRule="exact"/>
        <w:ind w:firstLine="480" w:firstLineChars="200"/>
        <w:contextualSpacing/>
        <w:rPr>
          <w:rFonts w:hint="eastAsia" w:ascii="宋体" w:hAnsi="宋体" w:cs="宋体"/>
          <w:b/>
          <w:bCs/>
          <w:sz w:val="24"/>
          <w:highlight w:val="none"/>
        </w:rPr>
      </w:pPr>
      <w:r>
        <w:rPr>
          <w:rFonts w:hint="eastAsia" w:ascii="宋体" w:hAnsi="宋体" w:cs="宋体"/>
          <w:color w:val="000000"/>
          <w:kern w:val="0"/>
          <w:sz w:val="24"/>
          <w:highlight w:val="none"/>
          <w:lang w:bidi="ar"/>
        </w:rPr>
        <w:t>★3</w:t>
      </w:r>
      <w:r>
        <w:rPr>
          <w:rFonts w:hint="eastAsia" w:ascii="宋体" w:hAnsi="宋体" w:cs="宋体"/>
          <w:b/>
          <w:bCs/>
          <w:sz w:val="24"/>
          <w:highlight w:val="none"/>
        </w:rPr>
        <w:t>.台式计算机、便携式计算机属于《节能产品政府采购品目清单》范围中政府强制采购产品，则投标人所报产品必须获得国家确定的认证机构出具的、处于有效期之内的节能产品认证证书，否则作无效投标处理。</w:t>
      </w:r>
    </w:p>
    <w:p w14:paraId="574972AC">
      <w:pPr>
        <w:tabs>
          <w:tab w:val="left" w:pos="567"/>
        </w:tabs>
        <w:spacing w:line="560" w:lineRule="exact"/>
        <w:ind w:firstLine="480" w:firstLineChars="200"/>
        <w:contextualSpacing/>
        <w:rPr>
          <w:rFonts w:hint="eastAsia" w:ascii="宋体" w:hAnsi="宋体" w:cs="宋体"/>
          <w:b/>
          <w:bCs/>
          <w:sz w:val="24"/>
          <w:highlight w:val="none"/>
        </w:rPr>
      </w:pPr>
      <w:r>
        <w:rPr>
          <w:rFonts w:hint="eastAsia" w:ascii="宋体" w:hAnsi="宋体" w:cs="宋体"/>
          <w:color w:val="000000"/>
          <w:kern w:val="0"/>
          <w:sz w:val="24"/>
          <w:highlight w:val="none"/>
          <w:lang w:bidi="ar"/>
        </w:rPr>
        <w:t>★4</w:t>
      </w:r>
      <w:r>
        <w:rPr>
          <w:rFonts w:hint="eastAsia" w:ascii="宋体" w:hAnsi="宋体" w:cs="宋体"/>
          <w:b/>
          <w:bCs/>
          <w:sz w:val="24"/>
          <w:highlight w:val="none"/>
        </w:rPr>
        <w:t>.投标人所投</w:t>
      </w:r>
      <w:r>
        <w:rPr>
          <w:b/>
          <w:bCs/>
          <w:color w:val="000000"/>
          <w:kern w:val="0"/>
          <w:sz w:val="24"/>
          <w:highlight w:val="none"/>
        </w:rPr>
        <w:t>产品若属于</w:t>
      </w:r>
      <w:r>
        <w:rPr>
          <w:rFonts w:hint="eastAsia"/>
          <w:b/>
          <w:bCs/>
          <w:sz w:val="24"/>
          <w:highlight w:val="none"/>
        </w:rPr>
        <w:t>《强制性产品认证目录》</w:t>
      </w:r>
      <w:r>
        <w:rPr>
          <w:b/>
          <w:bCs/>
          <w:sz w:val="24"/>
          <w:highlight w:val="none"/>
        </w:rPr>
        <w:t>的产品，则投标人所报产品必须获得</w:t>
      </w:r>
      <w:r>
        <w:rPr>
          <w:rFonts w:hint="eastAsia"/>
          <w:b/>
          <w:bCs/>
          <w:sz w:val="24"/>
          <w:highlight w:val="none"/>
        </w:rPr>
        <w:t>经国家市场监督管理总局指定的认证机构</w:t>
      </w:r>
      <w:r>
        <w:rPr>
          <w:b/>
          <w:bCs/>
          <w:sz w:val="24"/>
          <w:highlight w:val="none"/>
        </w:rPr>
        <w:t>出具的、</w:t>
      </w:r>
      <w:r>
        <w:rPr>
          <w:rFonts w:hint="eastAsia"/>
          <w:b/>
          <w:bCs/>
          <w:sz w:val="24"/>
          <w:highlight w:val="none"/>
        </w:rPr>
        <w:t>处于有效期之内的强制性产品认证证书</w:t>
      </w:r>
      <w:r>
        <w:rPr>
          <w:rFonts w:hint="eastAsia" w:ascii="宋体" w:hAnsi="宋体" w:cs="宋体"/>
          <w:b/>
          <w:bCs/>
          <w:sz w:val="24"/>
          <w:highlight w:val="none"/>
        </w:rPr>
        <w:t>，否则作无效投标处理。</w:t>
      </w:r>
    </w:p>
    <w:p w14:paraId="38DE9D6A">
      <w:pPr>
        <w:tabs>
          <w:tab w:val="left" w:pos="567"/>
        </w:tabs>
        <w:spacing w:line="560" w:lineRule="exact"/>
        <w:ind w:firstLine="480" w:firstLineChars="200"/>
        <w:contextualSpacing/>
        <w:rPr>
          <w:rFonts w:hint="eastAsia" w:ascii="宋体" w:hAnsi="宋体" w:cs="宋体"/>
          <w:b/>
          <w:bCs/>
          <w:sz w:val="24"/>
          <w:highlight w:val="none"/>
        </w:rPr>
      </w:pPr>
      <w:r>
        <w:rPr>
          <w:rFonts w:hint="eastAsia" w:ascii="宋体" w:hAnsi="宋体" w:cs="宋体"/>
          <w:color w:val="000000"/>
          <w:kern w:val="0"/>
          <w:sz w:val="24"/>
          <w:highlight w:val="none"/>
          <w:lang w:bidi="ar"/>
        </w:rPr>
        <w:t>★5</w:t>
      </w:r>
      <w:r>
        <w:rPr>
          <w:rFonts w:hint="eastAsia" w:ascii="宋体" w:hAnsi="宋体" w:cs="宋体"/>
          <w:b/>
          <w:bCs/>
          <w:sz w:val="24"/>
          <w:highlight w:val="none"/>
        </w:rPr>
        <w:t>.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highlight w:val="none"/>
          <w:lang w:bidi="ar"/>
        </w:rPr>
        <w:t>投标人所投</w:t>
      </w:r>
      <w:r>
        <w:rPr>
          <w:rFonts w:hint="eastAsia" w:ascii="宋体" w:hAnsi="宋体" w:cs="宋体"/>
          <w:b/>
          <w:bCs/>
          <w:sz w:val="24"/>
          <w:highlight w:val="none"/>
        </w:rPr>
        <w:t>台式计算机（含操作系统）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highlight w:val="none"/>
          <w:lang w:bidi="ar"/>
        </w:rPr>
        <w:t>的每一序号对应类型的产品，均须为同一品牌、规格、型号及配置，</w:t>
      </w:r>
      <w:r>
        <w:rPr>
          <w:rFonts w:hint="eastAsia" w:ascii="宋体" w:hAnsi="宋体" w:cs="宋体"/>
          <w:b/>
          <w:bCs/>
          <w:sz w:val="24"/>
          <w:highlight w:val="none"/>
        </w:rPr>
        <w:t>提供加盖投标人公章的承诺函，否则作无效投标处理。</w:t>
      </w:r>
    </w:p>
    <w:p w14:paraId="7E4C0E4C">
      <w:pPr>
        <w:tabs>
          <w:tab w:val="left" w:pos="567"/>
        </w:tabs>
        <w:spacing w:line="560" w:lineRule="exact"/>
        <w:ind w:firstLine="482" w:firstLineChars="200"/>
        <w:contextualSpacing/>
        <w:rPr>
          <w:rFonts w:hint="eastAsia" w:ascii="宋体" w:hAnsi="宋体" w:cs="宋体"/>
          <w:b/>
          <w:bCs/>
          <w:color w:val="000000"/>
          <w:kern w:val="0"/>
          <w:sz w:val="24"/>
          <w:highlight w:val="none"/>
          <w:lang w:bidi="ar"/>
        </w:rPr>
      </w:pPr>
    </w:p>
    <w:p w14:paraId="6D565833">
      <w:pPr>
        <w:pStyle w:val="2"/>
        <w:rPr>
          <w:rFonts w:hint="eastAsia" w:cs="宋体"/>
          <w:highlight w:val="none"/>
        </w:rPr>
      </w:pPr>
    </w:p>
    <w:p w14:paraId="7D5DF2C5">
      <w:pPr>
        <w:spacing w:line="560" w:lineRule="exact"/>
        <w:ind w:firstLine="480" w:firstLineChars="200"/>
        <w:contextualSpacing/>
        <w:rPr>
          <w:rFonts w:hint="eastAsia" w:ascii="宋体" w:hAnsi="宋体" w:cs="宋体"/>
          <w:sz w:val="24"/>
          <w:highlight w:val="none"/>
        </w:rPr>
      </w:pPr>
      <w:r>
        <w:rPr>
          <w:rFonts w:hint="eastAsia" w:ascii="宋体" w:hAnsi="宋体" w:cs="宋体"/>
          <w:sz w:val="24"/>
          <w:highlight w:val="none"/>
        </w:rPr>
        <w:t>（1）台式计算机（含操作系统）详细技术要求</w:t>
      </w:r>
    </w:p>
    <w:tbl>
      <w:tblPr>
        <w:tblStyle w:val="4"/>
        <w:tblW w:w="8366" w:type="dxa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5"/>
        <w:gridCol w:w="960"/>
        <w:gridCol w:w="1040"/>
        <w:gridCol w:w="1460"/>
        <w:gridCol w:w="3520"/>
        <w:gridCol w:w="791"/>
      </w:tblGrid>
      <w:tr w14:paraId="14C243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CBC95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序号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301F2E"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指标分类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064C9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800080"/>
                <w:sz w:val="24"/>
                <w:highlight w:val="none"/>
              </w:rPr>
            </w:pPr>
            <w:r>
              <w:rPr>
                <w:highlight w:val="none"/>
              </w:rPr>
              <w:fldChar w:fldCharType="begin"/>
            </w:r>
            <w:r>
              <w:rPr>
                <w:highlight w:val="none"/>
              </w:rPr>
              <w:instrText xml:space="preserve"> HYPERLINK \l "Sheet1!A3" </w:instrText>
            </w:r>
            <w:r>
              <w:rPr>
                <w:highlight w:val="none"/>
              </w:rPr>
              <w:fldChar w:fldCharType="separate"/>
            </w:r>
            <w:r>
              <w:rPr>
                <w:rStyle w:val="6"/>
                <w:rFonts w:hint="eastAsia" w:ascii="宋体" w:hAnsi="宋体" w:cs="宋体"/>
                <w:b/>
                <w:bCs/>
                <w:color w:val="auto"/>
                <w:sz w:val="24"/>
                <w:highlight w:val="none"/>
                <w:u w:val="none"/>
              </w:rPr>
              <w:t>一级指标</w:t>
            </w:r>
            <w:r>
              <w:rPr>
                <w:rStyle w:val="6"/>
                <w:rFonts w:hint="eastAsia" w:ascii="宋体" w:hAnsi="宋体" w:cs="宋体"/>
                <w:b/>
                <w:bCs/>
                <w:color w:val="auto"/>
                <w:sz w:val="24"/>
                <w:highlight w:val="none"/>
                <w:u w:val="none"/>
              </w:rPr>
              <w:fldChar w:fldCharType="end"/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4AFC0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二级指标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F5B9B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指标要求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B2DDF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备注</w:t>
            </w:r>
          </w:p>
        </w:tc>
      </w:tr>
      <w:tr w14:paraId="2E86B5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8E086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C2AFE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1D7BE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CPU规格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4EE1B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★CPU 信息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157D6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bidi="ar"/>
              </w:rPr>
              <w:t>供应商给出CPU信息，包含CPU 型号、物理核心数、主频、末级缓存容量、线程数、热设计功耗及内存的最高速率、通道数和位宽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E151C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08776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CCE97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2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9FD71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1084C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内存规格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EBD19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★内存配置容量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C354B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≥16GB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CC7352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9F726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B33B0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3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3D7CE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D1C50C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8426C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★内存类型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BCFA9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支持DDR4/LPDDR4/LPDDR4X及以上内存类型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9C2127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339596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9D3FB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4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B87B6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10A90F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B12B3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★内存条配置数量（板载内存不涉及）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C382C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≥1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7B726A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48095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ECF7A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5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A807E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23D1C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主板规格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284C2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★主板集成模块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B0950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集成资源扩展模块、计算处理模块、音频扩展模块等，主板的互联拓扑可通过处理器或交换电路实现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D3BD3A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A4352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1DE7A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6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1209B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1908C0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4FFAD0"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bidi="ar"/>
              </w:rPr>
              <w:t>★主板支持的 CPU和内存情况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30E20B"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bidi="ar"/>
              </w:rPr>
              <w:t>供应商给出主板支持的CPU和内存型号和数量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2847E8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A4323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AFA7A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7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0637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6ADAA3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5923B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主板内PCIe 插槽数量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2E6CD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支持PCIe插槽数量不少于4个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BE915E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0DFA6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DF6E0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8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9E56A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30E0A3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5D181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特殊孔位及接口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6E8D6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USB接口总数≥6个，其中USB 3.0不少于3个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161194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3BD5B8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4BFA9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9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79D61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69D90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0A5A5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★主板其他内置接口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B6244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供应商给出相关 SATA、M.2、USB 接口数量及占用状态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66B549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64CFA5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18913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10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987F3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2C127A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AB3AC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★单内存插槽最大可支持容量（板载内存不涉及）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EA1D4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≥8GB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9E3FDF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5AA4F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BDFB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11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B6923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922AB1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F437E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★内存插槽满配时提供的最高内存总容量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6A54D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≥16GB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3410A9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76D4C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CABA8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12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A677C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79CFC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存储设备规格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BDC1C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★固态盘数量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B8A9C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≥1个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BA9ECD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EEBD3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3DB9D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13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12C9B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0E999F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14C37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★固态存储容量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55EDA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≥512GB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3299E8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927D7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2EC6A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14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B609B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E6DE61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1FE93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★机械硬盘数量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70758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≥1个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9BF472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3DF355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EA3AC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15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CC1DD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3C9962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72C82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★机械硬盘总容量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391A8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≥500GB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C033A5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26408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722C3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16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78B39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96E79C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44DB7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★机械硬盘转速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C98B8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≥5400rpm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EE12A7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3C8160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1A7E7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17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2B072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68D300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24F6C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机械硬盘接口协议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C749E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支持SATA3.0及以上或SAS3.0 及以上接口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DB19FD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FE515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C1ED2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18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C74A1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BE3C3F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D93B0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★机械硬盘形态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9CDD7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2.5英寸或3.5英寸等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60549D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1D0C3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893C3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19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D2231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8046C1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1BDC5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固态存储接口协议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F7F2E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UFS/SATA/PCIe/NVMe 等类型接口协议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F4DB9D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68F571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DAA15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20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523A2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33004B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0841E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★固态存储形态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F7DE2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采用插卡或板载等形态，可选用符合M.2或2.5寸SATA或mSATA 等标准的插卡形态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A9CFDA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C42AB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17985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21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925A2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9E73F2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373E0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存储设备扩展盘位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32690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≥0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12D6B9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5D458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C74EE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22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C6E1A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703F56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6C9F6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★存储设备其他参数要求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45D58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a)固态盘应符合 SJ/T 11654 相关规定；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b)机械硬盘准备时间应不大于30s；侧面固定螺丝孔数量可为 4 孔或 6 孔；工作状态环境温度应满足 5℃~55℃;其它参数应符合GB/T12628相关规定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4C0FF1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379776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5D351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23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428DE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F199C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显卡规格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616B3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★显卡类型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29865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独立显卡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A19469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41BA8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3DB9E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24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1C31F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05620E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4EBCD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★独立显卡显存类型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B498F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显存类型应为DDR3/DDR4/GDDR5/GDDR6/LPDDR4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AC7B72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4E86E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6F916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25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583E9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570559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EFD5C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★独立显卡显存位宽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83CAF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显存位宽≥64 位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7E763D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DAFB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C4CB5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26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7354D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151E40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73832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★独立显卡显存容量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4CE30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显存容量≥2GB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2B2862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42CC5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78D82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27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5DF0B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2D8618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16E0C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▲独立显卡接口协议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B2E77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 PCIe 协议版本大于等于 2.0 或 HT（HyperTransport）协议版本大于等于 3.0 的独立显卡接口协议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81D0D5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E48C2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3AD86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28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30A76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74985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显示设备规格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DEA29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★显示屏屏占比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E0DC3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≥85%</w:t>
            </w:r>
          </w:p>
        </w:tc>
        <w:tc>
          <w:tcPr>
            <w:tcW w:w="7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8E97A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3E88C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95CF0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29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F336C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F9DFF4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35D97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★显示屏分辨率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73D6B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≥1920x1080</w:t>
            </w:r>
          </w:p>
        </w:tc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47BAD5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336D13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477D0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30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DF87D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EE574E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CB19C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▲显示屏像素密度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43580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≥85像素/英寸</w:t>
            </w:r>
          </w:p>
        </w:tc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8E717B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20344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A74C4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31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D9687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CE1782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41637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▲显示屏可视角度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790DA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水平≥170 °</w:t>
            </w:r>
          </w:p>
        </w:tc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5B53D7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9F1D3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1D350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32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4BCDF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8E25FD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D52CF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★显示屏尺寸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1AA96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≥27英寸</w:t>
            </w:r>
          </w:p>
        </w:tc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A76BD0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1959A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E8BBC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33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B234C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9AAE50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D5B70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★显示屏屏幕比例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E41FC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16:9或16:10或3:2</w:t>
            </w:r>
          </w:p>
        </w:tc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41C4B0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7F2E6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659DE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34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DA31C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9FE060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7CC6B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★显示器外观颜色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516CD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黑色</w:t>
            </w:r>
          </w:p>
        </w:tc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362907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9A2DC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9D22C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35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FF134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C173AC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301CA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★显示屏防蓝光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635C1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支持防蓝光模式，蓝光加权辐射亮度比应≤0.0012W/( ·cd ·sr)（瓦每坎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特拉每球面度）</w:t>
            </w:r>
          </w:p>
        </w:tc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DC85C4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6D5BEE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F60E6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36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E6291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61E52C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6295B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★显示屏低频闪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3E13D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显示屏应支持低频闪≤-35dB</w:t>
            </w:r>
          </w:p>
        </w:tc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D8FF07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62F04C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2F778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37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05C5F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4570AC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9C919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★显示屏防炫目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75744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显示屏镜面反射率≤10%</w:t>
            </w:r>
          </w:p>
        </w:tc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4FE72F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B6A08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588D2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38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761E4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1E912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外设规格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DB78A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传声器数量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E84A1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≥0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78CE26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A80DC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6E542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39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D5382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B6EFE6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2D403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扬声器数量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3003E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≥0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B63972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AD1C1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06BBA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40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EF749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2C559C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A082A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★鼠标数量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AD91B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≥1个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CD188D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77AC4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06B42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41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BE17A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A7362E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75DD6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★键盘数量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F6D4E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≥1个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8B140C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DB21D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C36E7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42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6162C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A09C89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08669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摄像头数量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DA565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本项目不需要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D1554C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36261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CA676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43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876E6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EA72FB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E50BD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★光驱数量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7B87E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≥1个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786E8E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0D24D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0E3A3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44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92A72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9780EF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9D132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★键盘按键数目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68D6C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104键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16B2D3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3EEB5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23BDF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45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84169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0C1CE5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5EFCB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摄像头像素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D3F77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本项目不需要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FC80D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</w:pPr>
          </w:p>
        </w:tc>
      </w:tr>
      <w:tr w14:paraId="5741E5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4DA73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46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C39DE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A002C6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81F00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摄像头分辨率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1F85A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本项目不需要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9FC8D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</w:pPr>
          </w:p>
        </w:tc>
      </w:tr>
      <w:tr w14:paraId="2D6741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3C985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47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D2F8D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64A0D2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0CF50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扬声器功率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DB794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ascii="宋体" w:hAnsi="宋体" w:cs="宋体"/>
                <w:sz w:val="24"/>
                <w:highlight w:val="none"/>
              </w:rPr>
              <w:t>≥1瓦/个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EE8F8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</w:pPr>
          </w:p>
        </w:tc>
      </w:tr>
      <w:tr w14:paraId="5B41FB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72D74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48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C8EAB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903DE2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12172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扬声器频率范围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38E0C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ascii="宋体" w:hAnsi="宋体" w:cs="宋体"/>
                <w:sz w:val="24"/>
                <w:highlight w:val="none"/>
              </w:rPr>
              <w:t>不低于（100Hz-8kHz）范围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EC5B7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</w:pPr>
          </w:p>
        </w:tc>
      </w:tr>
      <w:tr w14:paraId="17EB20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25AF0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49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6B9FF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A905AF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DCE14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扬声器总谐波失真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DF169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ascii="宋体" w:hAnsi="宋体" w:cs="宋体"/>
                <w:sz w:val="24"/>
                <w:highlight w:val="none"/>
              </w:rPr>
              <w:t>谐波失真在100Hz-7kHz频率范围内不高于10%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271DB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</w:pPr>
          </w:p>
        </w:tc>
      </w:tr>
      <w:tr w14:paraId="4CDE75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FFAD3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50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732F0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786EC3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778D9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扬声器最大声压级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CF42D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ascii="宋体" w:hAnsi="宋体" w:cs="宋体"/>
                <w:sz w:val="24"/>
                <w:highlight w:val="none"/>
              </w:rPr>
              <w:t>最大声压级在粉红噪声播放场景下， 工作距离处声压级不低于70dB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F4297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</w:pPr>
          </w:p>
        </w:tc>
      </w:tr>
      <w:tr w14:paraId="4B11CD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F62EB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51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D2C85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DF86F4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E9B9D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★键盘连接方式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EE57B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有线或无线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5CD482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6B207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94399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52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BEEA0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9BFE8A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1F752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★键盘键程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9D589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2.3mm ~ 4.0mm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F5E506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6AC822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65FD0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53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CBFA9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48C2AC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6D6B8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★键盘按键压力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0252F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按键压力应在 0.54 N±0.14N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0A3111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3BE594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6DF2D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54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2CE49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8EA9BC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7114C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★有线键盘连接线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E6934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≥1.5 米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129FFB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3193FC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B67F8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55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5FD93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58A102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938A4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★键盘颜色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1EAF2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黑色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FA0A2E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6A8A0F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9295F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56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F69F5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E7A8CA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2771B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键盘其他要求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2310A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键盘外观结构、连接方式、主要功能、安全、电磁兼容性、可靠性应符合GB/T14081 的相关规定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6872D8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66279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F8406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57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A42EE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A83C98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8E535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★鼠标连接方式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8B70C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有线或无线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B8856A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EBC37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19A0E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58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4C971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BFA930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F6170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★有线鼠标连接线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55CA8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≥1.5 米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FC8896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AF04D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86514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59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CD69E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E35C35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E1C82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★鼠标 DPI分辨率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19A12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800~1600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561187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7E224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060D2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60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78E3F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13E656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D874C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★鼠标颜色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794EF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黑色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8652AE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45C9B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68435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61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102DA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08496D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C5F4B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★鼠标其他要求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882F1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其它参数应符合GB/T 26245 的相关规定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D6EA48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72723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0F117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62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D13D1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C5EA54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E5EE2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★内置光驱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2DE49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内置8X DVD-RW光驱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FA36AC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368356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F39DE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63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7D495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AB85E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网络设备规格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ED75F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★有线网卡数量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D33E1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≥1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1755F6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3E541B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EA551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64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53A15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AAAD37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D3B21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无线网卡及天线数量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82CB0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本项目不需要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97860B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C01E1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2D1B7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65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98449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74170D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B3BAB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单无线网卡天线数量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CFC89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本项目不需要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C7BBB8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9FA45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1E095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66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2FFF5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9434F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外部接口规格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7C40E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★USB 接口数量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A7732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USB接口≥6个，其中USB3.0接口≥3个，机箱前面板应提供不少于3个USB接口（含2个USB3.0 及以上接口）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A46C58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DFE3F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A8C0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67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36B27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B7FF52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E17EE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USB母座接口要求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9638B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本项目不需要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60CC2A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A6702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061D0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68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12A80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A48879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F0711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★视频接口数量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5C232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HDMI接口≥1个，且支持复制和扩展两种显示模式；VGA接口≥1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C8A0CF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FB8F3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0AE2C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69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BD572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9397AB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8672E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★音频接口数量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C86C2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≥2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205F00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F5285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E09D9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70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F8BBE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316B1D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BB1EB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存储卡接口数量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53EEF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≥0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C790A5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EC12A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ECC47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71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F1BD4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644BD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整机基础规格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94964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★整机外观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E587C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a) 产品表面不应有凹痕、划伤、裂缝、变形和污染等。表面涂层均匀，不应起泡、龟裂、脱落和磨损，金属零部件无锈蚀及其它机械损伤；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b) 产品表面说明功能的文字、符号、标志，应清晰、端正、牢固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584199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4CFFB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8C21F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72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C100D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433F96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89C02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★状态指示灯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9A1D6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在产品显著位置提供状态指示功能，如运行状态，并由供应商提供详细参数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18AF54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4BA9D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00945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73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vAlign w:val="center"/>
          </w:tcPr>
          <w:p w14:paraId="3F08D5E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CFDCE0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E4EF4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★整机结构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0A70D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a) 机箱应符合 GB/T 4208、GB/T 26246的相关规定；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b) 产品内部结构应符合通用部件的安装需求；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c) 所有输入输出接口应符合相关国家或行业标准；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d) 产品零部件应紧固无松动，可插拔部件应可靠连接，开关、按钮和其它控制部件应灵活可靠，布局应方便使用；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e) 所有 I/O 连接器及需插接线缆的部位应预留采购人操作空间，方便插拔解锁与插拔线缆；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f) 可插拔板卡插槽部位应预留安装、拆卸或更换板卡空间；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g) 拆装可能接触到的金属剪口或金属尖角部位应做防划伤处理，以保证安全；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h) 整机内部走线应规整，固线结构和位置要合理可靠并做防割线处理，需便于理线和插拔操作，走线应不影响系统各主要部件组装和拆卸；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i) 如需通过孔走线，过线孔应做防割线理；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j) 各插头位置和插拔方向应合理，应做到插拔无障碍设计，具备防呆设计，有效避免误操作；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k) 各主要部件拆装无障碍，使用常规工具拆装，无特殊拆装工具需求；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l) 各主要部件拆装步骤要少，各自拆装需避免相互干扰；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m) 对于整机或零部件外表面为高亮面的，应粘贴保护膜，保护膜需粘贴牢固，运输、组装等过程不易脱落，撕下无残留；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n) 其它要求应符合GB/T 9813.1的相关规定。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CF742A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6FB4E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A9620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74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2925B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063ECA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7A0DB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★机箱防护要求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4E993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机箱应符合 GB/T 4208 中 IP20 防护要求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806CD1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64100E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E8176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75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14AF4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5DC958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905C5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★整机噪音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1EADD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产品工作在空闲状态下，产品的声功率级应不超过 4.5 Bel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82435C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C2CB3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A9C05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76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044CB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2A9709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2708B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★整机散热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AB177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在环境温度 25℃及处理器满载情况下，产品表面温度应符合如下要求：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a) 出风口在机箱后面板情况下，出风口温度不高于55℃ ;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b) 可触及面温度不高于45℃ ;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c) 显示器表面温度：显示屏不高于38℃ , 显示屏上下灯带位置温度（如涉及）不高于40℃ , 出风口温度不高于 45℃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58E722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3C4C1D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7CA5D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77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16409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AA215A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AE865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★整机能效限定值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7D6D3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产品能效限定值应达到 GB 28380-2012标准中能效等级2级及以上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87C2D4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34F28A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6AE07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78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D5A29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119957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57163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★机身材质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6B6C1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金属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70E5DF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0E6A8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6541A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79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55056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707F35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5B4AD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★机身颜色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205A3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黑色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3F92AF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7B735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C3683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80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68A70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1D63DD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73176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★机箱尺寸容量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E3691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机箱体积应不大于20L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1BF178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D196F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26C92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81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C393F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性能要求</w:t>
            </w:r>
          </w:p>
        </w:tc>
        <w:tc>
          <w:tcPr>
            <w:tcW w:w="1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357A2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CPU性能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0795BD"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bidi="ar"/>
              </w:rPr>
              <w:t>★CPU物理核数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1C7558"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bidi="ar"/>
              </w:rPr>
              <w:t>≥4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148736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ED53C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78079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82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350C2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性能要求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14AF1C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2C28FF"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bidi="ar"/>
              </w:rPr>
              <w:t>★CPU主频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9C2DC8"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bidi="ar"/>
              </w:rPr>
              <w:t>≥2.5GHz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499601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3C113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2B1C8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83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FD321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性能要求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A7809E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C631EE"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bidi="ar"/>
              </w:rPr>
              <w:t>★CPU末级缓存容量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721AAB"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bidi="ar"/>
              </w:rPr>
              <w:t>≥4MB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98EAB0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1C3E3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21F47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84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49885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性能要求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A88205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6F5AF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★CPU支持的内存最高速率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849D2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≥2666MT/s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0CDD21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6DA473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F2E73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85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2A0F0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性能要求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5FC11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内存性能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0C327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★内存读写速率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57C92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≥2666MT/s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6E8FDA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28A7B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DE2C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86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D0750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性能要求</w:t>
            </w:r>
          </w:p>
        </w:tc>
        <w:tc>
          <w:tcPr>
            <w:tcW w:w="1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DC9CE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显卡性能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3C2F0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★显示分辨率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7B313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≥1920x1080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0F3516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A7F28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6AAF8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87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43A74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性能要求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54C097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23A5E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★显卡显示芯片核心频率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99A02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≥300MHz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1B06B3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B1C39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BBDBB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88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3F58D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性能要求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4928AB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BDFAA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★显存等效频率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93ADE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≥1000MT/s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5D44DD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5636C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D34FB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89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9C233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性能要求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6209D7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FD51D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★显卡可支持多屏同时显示数量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A9CEB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显卡应支持 2 块屏幕同时显示，分辨率应不低于1920×1080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5CDD9B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43C36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93068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90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758B4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性能要求</w:t>
            </w:r>
          </w:p>
        </w:tc>
        <w:tc>
          <w:tcPr>
            <w:tcW w:w="1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634A2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显示设备性能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A7464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★显示屏刷新率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6765C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≥75Hz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F5AE05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7D406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9C749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91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B9B16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性能要求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3DA6DE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8469F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★显示屏位深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8DF3D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≥8位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AE1BEE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0A1F2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E36EF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92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B963D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性能要求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DA2E77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67BAD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★显示屏色域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CFD81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≥99% sRGB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08DECC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31DA34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B73AF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93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FB960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性能要求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B711A2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74F8A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★显示屏色准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6F1D2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△E ≤ 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8EF836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7E1AF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AC196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94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9559C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性能要求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F0BD7A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A9585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★显示屏响应时间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12CA4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≤8ms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C43E31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33EC97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03BB3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95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5C24A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性能要求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4A7A66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85344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★显示屏亮度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A2D72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≥250尼特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77C9E2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E069B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93E80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96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991DF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性能要求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662D10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2105D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★显示屏亮度一致性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EDE67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≥70%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4536B1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C56E8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F7619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97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3726C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性能要求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44EA38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ECEFE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★显示屏对比度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A9A92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≥500：1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4E3FED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548E6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ED9CF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98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B6C16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性能要求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3CC684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EFE19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★显示屏其他参数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E7EE1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其它参数应符合SJ/T 11292 的相关规定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0F1B5B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1395E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7A85A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99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76012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性能要求</w:t>
            </w:r>
          </w:p>
        </w:tc>
        <w:tc>
          <w:tcPr>
            <w:tcW w:w="1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D27D0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网络设备性能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C110B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★有线网卡速率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BFEB7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最高速率应不低于 1000Mbps，应支持10Mbps、100Mbps、1000Mbps 速率自适应，支持IPV6网络协议</w:t>
            </w:r>
          </w:p>
          <w:p w14:paraId="23F25E9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6763E3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D430C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EB3EE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100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2998A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性能要求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CDD13F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A1A73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支持无线网络通信技术协议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2DBA7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本项目不需要  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BD73EB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253E6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B7813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101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861C0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性能要求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8427F4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56739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无线网卡频宽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1CB9A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本项目不需要  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CBB9F7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76832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8A6B4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102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AB652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C8F6F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主板功能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B647C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★内存扩展接口(板载内存不涉及)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E7333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≥2 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B49D49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D6AD4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72739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103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9CEB0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BBB337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711E0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存储扩展接口(板载存储不涉及)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04AB2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供应商给出主板支持存储扩展接口类型，如 UFS3.0、SATA3.0、SAS3.0、M.2等类型接口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9AC4B3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3DB1AA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8B991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104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4AD46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76D98E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1D354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★主板 USB瞬间过流保护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EDE08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支持有瞬间过流保护功能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FCA796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2B354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5BB91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105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381D7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DD466E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954A1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★主板防静电保护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0BD57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支持防静电保护功能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D0BFF8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BA294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20CBB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106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FB5C6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E335FC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75AF2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★I/O接口功能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11ECD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提供基于标准 USB 接口外设连接功能、基于音频输入输出接口的音频扩展功能、基于 PCIe 接口板卡扩展功能、基于 HDMI 或 VGA 或 Type-C 或 DVI 或 DP等接口外接显示器扩展功能、基于存储接口对产品进行增容功能等。产品I/O 接口，应具备外接标准 USB 设备、显示器、音频设备等内外部设备能力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4F5FBB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0FF79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0FB0E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107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369EE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F2B68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显卡功能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91D8C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★显卡外接显示接口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8B479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HDMI接口≥1个，VGA接口≥1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72F468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23DA5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2A87F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108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DF7EB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D51D7D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01A61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若配置独立显卡，独立显卡数量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895C2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≥1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B4417C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E4430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FA7FB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109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6AFD2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82DE5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显示设备功能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F775C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★显示器接口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01BEE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显示器应与显卡外接显示接口匹配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9119AF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3FF124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00CAA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110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BFA05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9491A8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2051D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★显示器支架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BAFFE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显示器应提供显示器支架，根据采购人需求支持屏幕旋转、升降等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00169D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3981DC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77D6E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111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9C51C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4597B6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3990C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★显示器参数调节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CFCAC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a)提供 OSD 选单按钮用于调节色彩、模式等；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b)支持色温、亮度、对比度调节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D6082B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8CFCC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79E65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112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79CEA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CED0E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外设功能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D95E6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摄像头物理隐私保护开关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384D49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highlight w:val="none"/>
              </w:rPr>
              <w:t>本项目不需要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AE13A6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EF4D5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6338E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113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122C8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3A76AE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83914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传声器降噪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19FB3D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highlight w:val="none"/>
              </w:rPr>
              <w:t>本项目不需要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00E129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AF3DF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E2053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114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D9ECF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3CDF9B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6EAA1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键盘背光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8EA02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highlight w:val="none"/>
              </w:rPr>
              <w:t>本项目不需要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DA49C6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391DB1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657F5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115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B533A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1BFD10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2CBC8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★光驱功能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FC216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光驱应支持只读、刻录等类型；最大读取速度 CD 不低于 24×150KB/s；最大读取速度 DVD 不低于8×358KB/s；最大刻录速度CD 不低于24×150KB/s；最大刻录速度 DVD 不低于6×1358KB/s；兼容光盘类型包含只读光盘、可读写光盘、可擦写光盘等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1F5660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EAE0B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E1DB2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116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0E875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5E152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存储功能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DB385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★存储功能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C839A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通过 SATA 固态存储/PCIe 固态存储/UFS 固态存储/SATA 硬磁盘等存储部件提供存储功能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9AC92C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DBA4E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F687D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117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39EC0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B8CFA1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E7EA9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内置控制器固态存储加密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1AD63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固态存储通过内置控制器硬件支持加密，不依赖处理器，保障数据安全性，但不得影响存储性能。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a) 支持加密功能，且加密功能开启不影响SSD 读写性能；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b) 支持固件加密、安全启动和安全升级；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c) 支持数据的安全擦除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5F0E47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0EB0C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CBB7C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118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A3A70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420A3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网络设备功能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C3839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★网络功能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E7E70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a)支持网络连接、网络开启/关闭功能；b)支持访问网络和数据交换功能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6240FF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84D8F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9E6E9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119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E201F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70E111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5A853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无线网卡频段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0F37A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本项目不需要  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828178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50476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82265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120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A85C8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C0EF86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178CB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物理开关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6A423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本项目不需要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3DEF16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73956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A7F87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121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F88F7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BC4379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3A524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★数据传输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29386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支持数据传输能力，并提供数据流量和异常日志记录功能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C2839C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2A055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4CE6F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122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9C81D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C835AD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36202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蓝牙协议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5193E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若支持蓝牙模块，蓝牙协议不低于 5.0版本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7C83AE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4B615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C9E34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123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D62B3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2ECF03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AD44E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★有线网卡接口类型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C7515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 RJ45接口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E7F5E8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34508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64B02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124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FF752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A2830A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80E7A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无线网卡标准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9CD36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若配备无线网卡，产品应符合 GB15629.11 所有部分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F9D150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6AEA6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1C2F4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125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D27F4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AA9E1F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47582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★网络设备拆装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0CD1A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网络设备支持物理拆装，包括无线网卡和蓝牙模块等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92861E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368642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54A33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126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9FA60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6D5EF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外部接口功能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FDCD0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★音频接口类型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31B8B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 3.5mm 孔径 3 段式或 4 段式接口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D5916F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26A58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35865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127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B647E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BA2B98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26EFD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★视频接口类型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45527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HDMI接口≥1个，VGA接口≥1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B5BB09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2EFEE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FFC10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128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2E6AD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65B5D6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48ABF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★HDMI、DP、Type-C 显示接口要求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485CF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若提供 HDMI 或 DP 或 Type-C 作为显示接口，应支持音频和视频同步输出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6482C9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770EC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42291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129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36ECC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31928C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AF3E3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其他接口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0995E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4"/>
                <w:highlight w:val="none"/>
                <w:lang w:bidi="ar"/>
              </w:rPr>
              <w:t>a) 支持串行接口，可实现 GB/T 6107</w:t>
            </w:r>
          </w:p>
          <w:p w14:paraId="0DED4AE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4"/>
                <w:highlight w:val="none"/>
                <w:lang w:bidi="ar"/>
              </w:rPr>
              <w:t>的功能；</w:t>
            </w:r>
          </w:p>
          <w:p w14:paraId="3B92C22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4"/>
                <w:highlight w:val="none"/>
                <w:lang w:bidi="ar"/>
              </w:rPr>
              <w:t>b) 支持并行接口，可实现 GB/T</w:t>
            </w:r>
          </w:p>
          <w:p w14:paraId="7534A1D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highlight w:val="none"/>
                <w:lang w:bidi="ar"/>
              </w:rPr>
              <w:t>18235.1 的功能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3F9CEE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F85E4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67970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130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608CE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20E5D3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EE20E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存储卡接口类型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A1570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本项目不需要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261220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6FEF21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0B4D3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131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3AC27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D7E89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电源功能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27B88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★电源线适配能力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07EA5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电源适配器电线组件应符合GB/T15934 的要求，可拆线的插头和连接器可以不做要求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3A3E6D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87BBF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6011A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132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7E25B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B6F4C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操作系统及软件功能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A1FF6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★中文信息处理要求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5292B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符合 GB 18030 的相关规定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4FAF99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687581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D388A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133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4C5DF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73E373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241D7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★操作系统备份及还原功能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EBB92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支持操作系统备份及还原功能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2A36D5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4FB0D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D98E4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134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C364F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37F3BD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C6BEC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★固件备份还原能力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C1896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支持备份及还原固件的功能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19AF3B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38CDE7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F9C4A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135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84AAB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699CF8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1B315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★操作系统及驱动升级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5A7AD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支持通过网络、闪存盘等方式对操作系统、驱动进行升级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142E16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9C9F7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373A5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136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EB718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8F2B1D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58E3C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★固件升级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8F33B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支持通过网络、闪存盘等方式对固件进行升级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585B65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2015A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1C719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137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60323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3C0BB4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C6AD5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★BIOS 支持关闭通讯接口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C4A43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 BIOS 关闭以太网及 USB 接口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DCCE16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B8BFE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53C6D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138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449ED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4BBFDA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95AE9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★固件查看信息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AED88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支持查看固件版本、内存信息、主板信息、处理器信息和系统时间信息等功能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BB7515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CE62E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6B9A1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139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86A0F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8E115D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7593F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★固件设置启动顺序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38D5E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支持设置启动顺序功能，并按照设置的启动顺序启动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204B7A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3D578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7CA9B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140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F3121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7F96CA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DECF6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★固件设置口令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2534F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支持设置口令、修改口令、验证口令功能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889062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421D6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30FC8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141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8F875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5FD75D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92A31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★固件设置网络引导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2F006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支持网络引导启动和关闭功能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4E9E44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3678D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BA4B8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142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6FCEA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B9A2B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生物识别功能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72ED1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指纹识别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AA851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本项目不需要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2231DA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628984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41493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143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2D01E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210350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C0A9F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人脸识别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C5639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本项目不需要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5D56D7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25FB3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00EE9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144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10063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82F5EC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F64B3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静脉识别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EF84E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本项目不需要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E5EBF8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3B72A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1F76A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145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9A6ED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C1A29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硬件加速功能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F6C2B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NPU/GPU等AI加速模块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5A8CE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 NPU/GPU 等AI加速模块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F99082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8D760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EC25E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146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BA90B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28E808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F27A5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视频编解码加速模块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A16B4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支持视频编解码加速模块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1615F6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6886FD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517BF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147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2F77D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03BF45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7B2EA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影像处理加速模块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94A95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支持影像处理加速模块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4B8178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AC538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8F0E3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148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CDC2E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可靠性要求</w:t>
            </w:r>
          </w:p>
        </w:tc>
        <w:tc>
          <w:tcPr>
            <w:tcW w:w="1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73FD6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存储设备可靠性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6CBCE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★固态存储寿命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502F6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TBW ≥ 80TB（条件：240GB 硬盘容量）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5B4909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9AC1B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5AA48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149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027BC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可靠性要求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E603B8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F9B48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★机械硬盘寿命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68A45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通电时间≥5 万小时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5F9319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387DB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64F79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150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7FB89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可靠性要求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B7DCE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显示设备可靠性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ED4FA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★显示屏屏幕失效点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4E1A9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符合 GB/T 9813.2 的要求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11DB6C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62748F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BB34A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151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33357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可靠性要求</w:t>
            </w:r>
          </w:p>
        </w:tc>
        <w:tc>
          <w:tcPr>
            <w:tcW w:w="1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25B31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外设可靠性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54F6B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★键盘按键寿命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27876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≥1000万次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338B65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2A3FD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3288D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152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EF1FD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可靠性要求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77DE30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75A3A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★鼠标按键寿命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B7927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≥500万次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742CC1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6570DA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BF54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153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08143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可靠性要求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08AB2D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C159F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★键盘鼠标线材寿命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27428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键盘鼠标所用线材经±60 °弯折不低于 3000 次，功能、外观完好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727EEF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A70F5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07737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154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CDADC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可靠性要求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BCBF6C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8B1DA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★风扇寿命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59019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≥4万小时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F7A2BD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EA10D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E96B6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155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BDA0F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可靠性要求</w:t>
            </w:r>
          </w:p>
        </w:tc>
        <w:tc>
          <w:tcPr>
            <w:tcW w:w="1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20535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整机可靠性要求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AF695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★电磁兼容性要求的抗扰度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9B2FB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符合 GB/T 9254.2 的规定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DEB5C3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3C0D94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A6E74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156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CC7AA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可靠性要求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9CAA91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1381A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★环境条件要求的气候环境适应性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F4D35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符合 GB/T 9813.1 中规定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D4F72A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24D46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A993F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157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AC47C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可靠性要求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B19943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5FC09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★环境条件要求的振动适应性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8D0EB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符合 GB/T 9813.1 中规定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5A3593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46A29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C0141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158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A16F4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可靠性要求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A6C46A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77500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★环境条件要求的冲击适应性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288EF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符合 GB/T 9813.1 中规定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69DF45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57E2D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A6B40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159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B4533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可靠性要求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08F065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50317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★环境条件要求的碰撞适应性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2AD21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符合 GB/T 9813.1 中规定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1CD3EC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61CC38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CBB40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160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89273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可靠性要求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7213BA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7B72D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★环境条件要求的运输包装件跌落适应性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4A0ED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符合 GB/T 9813.1 中规定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2969E6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150CA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E68CB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161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C661F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可靠性要求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144543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3CF4E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★MTBF测试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B8B61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MTBF(m1)≥3万小时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39828E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62339D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DF110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162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E66D1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兼容要求</w:t>
            </w:r>
          </w:p>
        </w:tc>
        <w:tc>
          <w:tcPr>
            <w:tcW w:w="1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56014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兼容要求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992FF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★常用软件兼容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36634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支持流式软件、版式软件、浏览器、邮件采购人端、解压软件、多媒体、图形图像处理等常用软件</w:t>
            </w:r>
          </w:p>
        </w:tc>
        <w:tc>
          <w:tcPr>
            <w:tcW w:w="79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78E2D57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6C810C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B09A4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163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85641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兼容要求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163A23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2DA1C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★数据库兼容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66129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兼容3个及以上厂商的数据库产品</w:t>
            </w:r>
          </w:p>
        </w:tc>
        <w:tc>
          <w:tcPr>
            <w:tcW w:w="79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8F54C02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6D9F3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0E0E9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164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4FD36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兼容要求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FA5F37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49F67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★中间件兼容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A5B1C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兼容3个及以上厂商中间件产品</w:t>
            </w:r>
          </w:p>
        </w:tc>
        <w:tc>
          <w:tcPr>
            <w:tcW w:w="79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91E2174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00A7A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0A1EB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165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93B46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兼容要求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A95FA2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94576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★平台软件兼容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F202D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兼容3个及以上厂商云计算及大数据平台</w:t>
            </w:r>
          </w:p>
        </w:tc>
        <w:tc>
          <w:tcPr>
            <w:tcW w:w="79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5E8068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DB6D0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EA612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166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CE271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包装及运输要求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E84AB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包装及运输要求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83015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★标志、包装、运输和贮存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EFEC0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符合 GB/T 9813.1 和商品包装政府采购需求标准的相关规定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AEA4E1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1C98F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682EF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167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A082E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服务要求</w:t>
            </w:r>
          </w:p>
        </w:tc>
        <w:tc>
          <w:tcPr>
            <w:tcW w:w="1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2CC8B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服务要求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FC64E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★配置检查工具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7FDF6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供应商提供自检测试工具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EA9A36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6DC0C4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61C89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168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014EF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服务要求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BA194C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402CB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★服务响应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74D8F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a)供应商提供电话、电子邮件、远程连接等多种形式服务；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b)供应商提供同城4h、异地 12h 技术响应服务，2 个工作日解决问题，对于未能解决的问题和故障应提供可行的升级方案，并提供周转设备或更换设备；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c)建立全国技术服务体系和服务团体，符合专业服务体系标准要求，提供原厂中文服务；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d)服务周期内提供产品的维修、换件和升级服务</w:t>
            </w:r>
          </w:p>
        </w:tc>
        <w:tc>
          <w:tcPr>
            <w:tcW w:w="7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CC01A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401EC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8DB2C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169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AA894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服务要求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7A5118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A4543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★服务周期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E2B8D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a) 设备停产后应继续提供质量保障服务（含备品备件），服务终止时间与最后一批设备交付时间间隔不低于6年；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b) 产品停止服务时间应提前 1 年告知；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c) 应明确产品发布日期</w:t>
            </w:r>
          </w:p>
        </w:tc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967DC3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1E056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340D1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170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FFF4A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服务要求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0058C8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58974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★预装操作系统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1693B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预装符合桌面操作系统政府采购需求标准的正版操作系统</w:t>
            </w:r>
          </w:p>
        </w:tc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48D17A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4EE7A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59C25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171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D705B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服务要求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E99B3D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C4D79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★培训服务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48A49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供应商提供培训材料、产品手册、培训视频等培训相关内容</w:t>
            </w:r>
          </w:p>
        </w:tc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C76CC9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2722C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43847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172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B6F8F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服务要求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B281CD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30A12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★典型问题解决手册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3D1F4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供应商提供典型问题解决说明文档或视频</w:t>
            </w:r>
          </w:p>
        </w:tc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FF8BF5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D82ED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049F4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173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759D0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服务要求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5C6F51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548CB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★厂家升级软件与扩容服务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179E2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供应商提供上门升级部件/软件与扩容的增值服务</w:t>
            </w:r>
          </w:p>
        </w:tc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D169A8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B43BF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47559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174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D9F8C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服务要求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7A317A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0D34F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★整机质量服务要求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08A7E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免费服务周期（含换件和维修）应不小于3年</w:t>
            </w:r>
          </w:p>
        </w:tc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A8A3CC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7DD10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39F81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175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6EFA4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服务要求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7BAB9B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FF71D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★合格证书要求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A6A05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供应商提供产品合格证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719641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63AC95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9301B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176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AA4FC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服务要求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E9CBE8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77814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★开箱组装/使用指导要求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E0DF1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供应商提供开箱组装/使用指导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AF853D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48091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A026D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177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A4281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服务要求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BB549F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E3D22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★驱动下载服务要求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33F93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供应商提供驱动光盘或下载方式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E41315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3D3BF0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DEA69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178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F142A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服务要求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0FE2E5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DAFE6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★兼容适配软件下载服务要求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C37B7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供应商提供兼容适配软件下载渠道（光盘、网站）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CB15A2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1789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B0C97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179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3C63D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服务要求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DB996F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9CF98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跨架构平台应用兼容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E6C3D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供应商提供跨架构平台的应用兼容工具，支持一种或者一种以上不同架构平台的应用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2D307C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9E453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1306F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180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66967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供应保障要求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3BCDF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供应链合规性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CD217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★产品部件保障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64889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供应商保障产品主要部件，提供6年的备件服务能力（自购买之日起），或提供可兼容原设备的升级换代产品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BC5A80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D1A0F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EB750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181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19440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供应保障要求</w:t>
            </w:r>
          </w:p>
        </w:tc>
        <w:tc>
          <w:tcPr>
            <w:tcW w:w="1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B6CB2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供应链质量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A5987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★抗干扰性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488B5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当产品部件出现供应风险时，供应商应通知采购人并提供风险应对方案确保产品的服务保障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F5F55F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66AE66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B7ED6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182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AD895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供应保障要求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7F3D46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0D200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★供应能力证明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02C8A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供应商提供供应链稳定承诺书，确保产品的部件在产品服务周期内稳定供货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eastAsia="zh-CN" w:bidi="ar"/>
              </w:rPr>
              <w:t>，</w:t>
            </w:r>
            <w:r>
              <w:rPr>
                <w:rFonts w:hint="eastAsia" w:ascii="宋体" w:hAnsi="宋体" w:cs="宋体"/>
                <w:b/>
                <w:bCs/>
                <w:sz w:val="24"/>
                <w:highlight w:val="none"/>
              </w:rPr>
              <w:t>提供加盖投标人公章的承诺函</w:t>
            </w:r>
            <w:r>
              <w:rPr>
                <w:rFonts w:hint="eastAsia" w:ascii="宋体" w:hAnsi="宋体" w:cs="宋体"/>
                <w:b/>
                <w:bCs/>
                <w:sz w:val="24"/>
                <w:highlight w:val="none"/>
                <w:lang w:eastAsia="zh-CN"/>
              </w:rPr>
              <w:t>。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BA140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</w:pPr>
          </w:p>
        </w:tc>
      </w:tr>
      <w:tr w14:paraId="49770B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78081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183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C6A7A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安全要求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5D2C0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关键部件安全要求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12FCB8"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bidi="ar"/>
              </w:rPr>
              <w:t>★关键部件安全要求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7ECBC0"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bidi="ar"/>
              </w:rPr>
              <w:t>CPU和操作系统等关键部件应当符合安全可靠测评要求；CPU安全可靠等级达到Ⅱ级及以上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0E10A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提供安全可靠测评通过的官网截图并加盖投标人公章</w:t>
            </w:r>
          </w:p>
        </w:tc>
      </w:tr>
      <w:tr w14:paraId="3FE292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95320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184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B0719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安全要求</w:t>
            </w:r>
          </w:p>
        </w:tc>
        <w:tc>
          <w:tcPr>
            <w:tcW w:w="1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01501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整机安全性要求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A9E7A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★密码算法实现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61B6C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CPU芯片应符合 GM/T0008的相关规定，或芯片密码模块应符合GB/T 37092或GM/T0028 的相关规定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6B7B27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C1C50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A3A68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185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AE885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安全要求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C2497B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D1412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USB 端口管控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80561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支持USB端口管控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E5D478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F4273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4FE1C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186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84A98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安全要求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84750C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23B5F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安全物理锁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6B576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支持安全物理锁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7E283F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36AF7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61119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187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D1C58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安全要求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5A7140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B4501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★信息安全基本要求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303B8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a) 产品应符合 GB/T 39276 的 5.2 的规定；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b) 生产厂商应建立漏洞跟踪表，保证产品版本涉及到的漏洞(如驱动程序等)可查看；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c) 产品不得包含已知的恶意代码或漏洞，不存在未声明的指令、功能、接口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DA70B8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5B93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20CCB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188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28EB7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安全要求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7C11A6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7A804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★固件安全启动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DC9F1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支持固件安全启动功能，固件启动过程中只有通过启动校验才能正常启动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229A2B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6783FE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F36C4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189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8EB80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安全要求</w:t>
            </w: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F72A5A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256AD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★限用物质的限量要求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92291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符合GB/T26572中规定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74016A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609B8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130C7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190</w:t>
            </w:r>
          </w:p>
        </w:tc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5FB504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预装软件要求</w:t>
            </w:r>
          </w:p>
        </w:tc>
        <w:tc>
          <w:tcPr>
            <w:tcW w:w="10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CFF2D8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操作系统要求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5BFC92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★授权承诺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620F7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1）软件授权许可证需直接授权甲方，且提供三年（含）以上售后服务，授权永久使用授权，售后服务授权期内提供重要版本及安全补丁更新服务。（所涉及费用包含在投标报价中）</w:t>
            </w:r>
          </w:p>
          <w:p w14:paraId="15400DB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2）授权服务期内承载的硬件设备损坏或报废，此授权可以转移到用户更新的硬件设备继续使用；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DD284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提供加盖投标人公章的承诺函</w:t>
            </w:r>
          </w:p>
        </w:tc>
      </w:tr>
      <w:tr w14:paraId="7BBEC8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4807B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191</w:t>
            </w:r>
          </w:p>
        </w:tc>
        <w:tc>
          <w:tcPr>
            <w:tcW w:w="9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E4C66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0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078BB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084DD2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主要功能要求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ED9E60">
            <w:pPr>
              <w:pStyle w:val="9"/>
              <w:numPr>
                <w:ilvl w:val="0"/>
                <w:numId w:val="0"/>
              </w:numPr>
              <w:snapToGrid w:val="0"/>
              <w:jc w:val="left"/>
              <w:rPr>
                <w:rFonts w:hint="eastAsia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1）桌面环境：系统默认集成桌面环境。主要由设备管理器、启动盘制作工具、安全中心等组成。</w:t>
            </w:r>
          </w:p>
          <w:p w14:paraId="2BDEC938">
            <w:pPr>
              <w:pStyle w:val="9"/>
              <w:numPr>
                <w:ilvl w:val="0"/>
                <w:numId w:val="0"/>
              </w:numPr>
              <w:snapToGrid w:val="0"/>
              <w:jc w:val="left"/>
              <w:rPr>
                <w:rFonts w:hint="eastAsia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2）打印管理：默认集成打印管理器软件，支持图片批量打印，在图形化界面一次选中多张图片，一键选择，即可批量打印图片。</w:t>
            </w:r>
          </w:p>
          <w:p w14:paraId="4C031828">
            <w:pPr>
              <w:pStyle w:val="9"/>
              <w:numPr>
                <w:ilvl w:val="0"/>
                <w:numId w:val="0"/>
              </w:numPr>
              <w:snapToGrid w:val="0"/>
              <w:jc w:val="left"/>
              <w:rPr>
                <w:rFonts w:hint="eastAsia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3）利旧兼容：能够对现有常见品牌外设提供利旧驱动兼容。</w:t>
            </w:r>
          </w:p>
          <w:p w14:paraId="2DB90BC5">
            <w:pPr>
              <w:pStyle w:val="9"/>
              <w:numPr>
                <w:ilvl w:val="0"/>
                <w:numId w:val="0"/>
              </w:numPr>
              <w:snapToGrid w:val="0"/>
              <w:jc w:val="left"/>
              <w:rPr>
                <w:rFonts w:hint="eastAsia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4）磁盘管理：操作系统提供硬盘管理工具，显示硬盘容量及硬盘信息，支持新建和删除硬盘分区，分区支持EXT3、EXT4、FAT32、NTFS、XFS、exFAT、Btrfs等文件系统格式。支持磁盘健康检测、坏道检测与修复，分区挂载与卸载，分区表错误检查等功能。</w:t>
            </w:r>
          </w:p>
          <w:p w14:paraId="2596D72C">
            <w:pPr>
              <w:pStyle w:val="9"/>
              <w:numPr>
                <w:ilvl w:val="0"/>
                <w:numId w:val="0"/>
              </w:numPr>
              <w:snapToGrid w:val="0"/>
              <w:jc w:val="left"/>
              <w:rPr>
                <w:rFonts w:hint="eastAsia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5）密码找回或重置：忘记系统登录密码后，支持在公网环境、离线环境下通过手机号或邮箱方式快速找回密码。或支持在公网环境、离线环境下重置密码。</w:t>
            </w:r>
          </w:p>
          <w:p w14:paraId="328C06F0">
            <w:pPr>
              <w:pStyle w:val="9"/>
              <w:numPr>
                <w:ilvl w:val="0"/>
                <w:numId w:val="0"/>
              </w:numPr>
              <w:snapToGrid w:val="0"/>
              <w:rPr>
                <w:rFonts w:hint="eastAsia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6）OS AI能力：</w:t>
            </w:r>
            <w:r>
              <w:rPr>
                <w:rFonts w:hint="eastAsia" w:cs="宋体"/>
                <w:kern w:val="0"/>
                <w:sz w:val="24"/>
                <w:szCs w:val="24"/>
                <w:highlight w:val="none"/>
              </w:rPr>
              <w:t>默认集成AI应用，支持用户调用AI能力进行内容创作、文生文、智能问答、系统控制等功能，兼容主流大模型。</w:t>
            </w:r>
          </w:p>
          <w:p w14:paraId="224BB65C">
            <w:pPr>
              <w:pStyle w:val="9"/>
              <w:numPr>
                <w:ilvl w:val="0"/>
                <w:numId w:val="0"/>
              </w:numPr>
              <w:snapToGrid w:val="0"/>
              <w:rPr>
                <w:rFonts w:hint="eastAsia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7）适配现有全国法院一张网系统。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88330F">
            <w:pPr>
              <w:pStyle w:val="9"/>
              <w:numPr>
                <w:ilvl w:val="0"/>
                <w:numId w:val="0"/>
              </w:numPr>
              <w:snapToGrid w:val="0"/>
              <w:spacing w:line="480" w:lineRule="exact"/>
              <w:jc w:val="left"/>
              <w:rPr>
                <w:rFonts w:hint="eastAsia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需提供功能截图并加盖投标人公章</w:t>
            </w:r>
          </w:p>
          <w:p w14:paraId="5E5E6A0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</w:tbl>
    <w:p w14:paraId="3ACD6A6A">
      <w:pPr>
        <w:spacing w:line="560" w:lineRule="exact"/>
        <w:ind w:firstLine="480" w:firstLineChars="200"/>
        <w:contextualSpacing/>
        <w:rPr>
          <w:rFonts w:hint="eastAsia" w:ascii="宋体" w:hAnsi="宋体" w:cs="宋体"/>
          <w:sz w:val="24"/>
          <w:highlight w:val="none"/>
        </w:rPr>
      </w:pPr>
    </w:p>
    <w:p w14:paraId="277BD4B2">
      <w:pPr>
        <w:spacing w:line="560" w:lineRule="exact"/>
        <w:ind w:firstLine="482" w:firstLineChars="200"/>
        <w:contextualSpacing/>
        <w:rPr>
          <w:rFonts w:hint="eastAsia" w:ascii="宋体" w:hAnsi="宋体" w:cs="宋体"/>
          <w:b/>
          <w:bCs/>
          <w:color w:val="FF0000"/>
          <w:sz w:val="24"/>
          <w:highlight w:val="none"/>
        </w:rPr>
      </w:pPr>
      <w:r>
        <w:rPr>
          <w:rFonts w:hint="eastAsia" w:ascii="宋体" w:hAnsi="宋体" w:cs="宋体"/>
          <w:b/>
          <w:bCs/>
          <w:color w:val="FF0000"/>
          <w:sz w:val="24"/>
          <w:highlight w:val="none"/>
        </w:rPr>
        <w:t>指标要求中如有“供应商给出......”等表述要求的，请投标人明确提供响应具体内容。</w:t>
      </w:r>
    </w:p>
    <w:p w14:paraId="67C0EA2E">
      <w:pPr>
        <w:spacing w:line="560" w:lineRule="exact"/>
        <w:ind w:firstLine="480" w:firstLineChars="200"/>
        <w:contextualSpacing/>
        <w:rPr>
          <w:rFonts w:hint="eastAsia" w:ascii="宋体" w:hAnsi="宋体" w:cs="宋体"/>
          <w:sz w:val="24"/>
          <w:highlight w:val="none"/>
        </w:rPr>
      </w:pPr>
      <w:r>
        <w:rPr>
          <w:rFonts w:hint="eastAsia" w:ascii="宋体" w:hAnsi="宋体" w:cs="宋体"/>
          <w:sz w:val="24"/>
          <w:highlight w:val="none"/>
        </w:rPr>
        <w:t>便携式计算机（含操作系统）详细技术要求</w:t>
      </w:r>
    </w:p>
    <w:tbl>
      <w:tblPr>
        <w:tblStyle w:val="4"/>
        <w:tblW w:w="8365" w:type="dxa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5"/>
        <w:gridCol w:w="950"/>
        <w:gridCol w:w="1050"/>
        <w:gridCol w:w="1450"/>
        <w:gridCol w:w="3520"/>
        <w:gridCol w:w="790"/>
      </w:tblGrid>
      <w:tr w14:paraId="127AD0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B4620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序号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46249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指标分类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A0B44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  <w:highlight w:val="none"/>
              </w:rPr>
            </w:pPr>
            <w:r>
              <w:rPr>
                <w:highlight w:val="none"/>
              </w:rPr>
              <w:fldChar w:fldCharType="begin"/>
            </w:r>
            <w:r>
              <w:rPr>
                <w:highlight w:val="none"/>
              </w:rPr>
              <w:instrText xml:space="preserve"> HYPERLINK \l "Sheet1!A3" </w:instrText>
            </w:r>
            <w:r>
              <w:rPr>
                <w:highlight w:val="none"/>
              </w:rPr>
              <w:fldChar w:fldCharType="separate"/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一级指标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fldChar w:fldCharType="end"/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AFFFD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二级指标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16492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指标要求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87143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备注</w:t>
            </w:r>
          </w:p>
        </w:tc>
      </w:tr>
      <w:tr w14:paraId="7C048A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D19FB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C500B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A9A31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CPU规格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747A6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★CPU信息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AA02F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bidi="ar"/>
              </w:rPr>
              <w:t>供应商给出CPU信息，包含CPU型号、物理核心数、主频、末级缓存容量、线程数、热设计功耗及内存的最高速率、通道数和位宽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10EBA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0BF60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F6FD0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2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B3184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2DDE7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内存规格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15217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★内存配置容量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B9C97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≥16GB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EDC968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9B1DC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5116B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3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0E109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4A99A6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3AAC3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★内存类型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F37F1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支持DDR4/LPDDR4/LPDDR4X及以上内存类型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471FB8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EF1DE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C711A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4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2AA8D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F3B053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41E5A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★内存条配置数量（板载内存不涉及）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9E134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≥1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C97838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D3D6A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8FF3C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5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314A5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EB988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主板规格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D076C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★主板集成模块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9FBCE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集成资源扩展模块、计算处理模块、音频扩展模块等，主板的互联拓扑可通过处理器或交换电路实现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C3A667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3913D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8E031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6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3571F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7D416A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5C417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★主板支持的CPU和内存情况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7875D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bidi="ar"/>
              </w:rPr>
              <w:t>供应商给出主板支持的CPU和内存型号和数量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4522F9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55B71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E2A85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7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0A84D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1CAE0A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22B7D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主板内置PCIe插槽数量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A8117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≥0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43A128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69AE82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0A612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8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B85E1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AB2499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15BF9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特殊孔位及接口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503D8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本项目不需要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5DE82F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FED07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48202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9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BDA4C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AF439E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D8ACF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★单内存插槽最大可支持容量（板载内存不涉及）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F6180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≥16GB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67EB81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3E651B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10A2A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10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F60F7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931C8D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6F816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★内存插槽满配时提供的最高内存总容量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D417E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≥16GB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26541D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DEC57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0CEE7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11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4BB6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4A2C0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存储设备规格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EF771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★固态盘数量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7E862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≥1个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9D9CDD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B7FDE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A5E90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12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2CC0B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059B68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84BB3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★固态存储容量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88DCA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≥512GB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463124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D5273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FCD4A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13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252A5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5FAFB5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F06C3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★固态盘数量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0C9EC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≥1个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3CECF1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87F1D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82F56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14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478EF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4A3711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45D91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机械硬盘数量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D3FB4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=0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A80F0A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8E64F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01B65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15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C6EA5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3E78F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98288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机械硬盘总容量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9417E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本项目不需要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89C724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331CE9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4CF9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16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82333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E127A2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39A23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机械硬盘转速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4EF25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本项目不需要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548AF2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85998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0E069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17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06D87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BC7CF7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C7A1F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机械硬盘接口协议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03C3B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本项目不需要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8BEC1C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686D64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72036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18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52692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1A2C73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284FB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机械硬盘形态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5EBF7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本项目不需要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D91B36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A0591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A15B6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19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0A241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193D51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8E128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固态存储接口协议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FD4D8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支持UFS/SATA/PCIe/NVMe等类型接口协议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D94E68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76C0F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08ED5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20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4B789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E0B2F9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7383A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固态存储形态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E9604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可采用插卡或板载等形态，插卡形态宜符合M.2或mSATA等标准尺寸和接口定义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D13E97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26837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C8822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21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A7CD5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1B8D0C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AB8C9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★存储设备扩展盘位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C4261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≥0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C84EE0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66D356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D51D0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22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D51E5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434087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3BC90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★存储设备其他参与要求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0FE9B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固态盘应符合SJ/T11654相关规定;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D34103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B8B33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35706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23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7519F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8FADA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显卡规格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D46CC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★显卡类型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B1617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独立或集成显卡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9459A4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D389C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DE685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24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A68CD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F3677E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BFC64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独立显卡显存类型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64226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显存类型应为DDR3/DDR4/GDDR5/GDDR6/LPDDR4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AC6239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8517A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CA6B8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25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E0926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114C9B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828B6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独立显卡显存位宽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049FA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显存位宽≥32位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A6E79A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F3224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9C09B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26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9EDC9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E742BB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A57B6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独立显卡显存容量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DD1A7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显存容量≥2GB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4DA2AA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3FD5E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E8204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27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67F09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4C4AFC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FB580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独立显卡接口协议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E2B8C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支持PCIe协议版本大于等于2.0或HT（HyperTransport）协议版本大于等于3.0的独立显卡接口协议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4676E5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33D059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F4C94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28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736CB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2A63D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显示设备规格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F4BBE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★显示屏屏占比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EACF6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≥80%</w:t>
            </w:r>
          </w:p>
        </w:tc>
        <w:tc>
          <w:tcPr>
            <w:tcW w:w="7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E2F6B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CA2F4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2C58B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29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1D436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30C9AD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40CA8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★显示屏分辨率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AC196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≥1920x1080</w:t>
            </w:r>
          </w:p>
        </w:tc>
        <w:tc>
          <w:tcPr>
            <w:tcW w:w="7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1A5655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7B7F5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234E5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30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D58E1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6B73ED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C78B4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▲显示屏像素密度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FF657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≥150像素/英寸</w:t>
            </w:r>
          </w:p>
        </w:tc>
        <w:tc>
          <w:tcPr>
            <w:tcW w:w="7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467A32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8E718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F2666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31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BC87C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6B8186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DCC2B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▲显示屏可视角度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761DC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水平≥170 °</w:t>
            </w:r>
          </w:p>
        </w:tc>
        <w:tc>
          <w:tcPr>
            <w:tcW w:w="7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69BAE8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744FF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194C1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32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78CA6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C104E2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1170E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★显示屏尺寸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CBD52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≥14英寸</w:t>
            </w:r>
          </w:p>
        </w:tc>
        <w:tc>
          <w:tcPr>
            <w:tcW w:w="7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D984B6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A454B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580DB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33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6EF52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71D73A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13AA1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★显示屏屏幕比例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EF706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16:9或16:10或3:2</w:t>
            </w:r>
          </w:p>
        </w:tc>
        <w:tc>
          <w:tcPr>
            <w:tcW w:w="7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6A952E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3539F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CE446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34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57753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A32188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3A78C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★显示屏防蓝光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AD7B7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支持防蓝光模式，蓝光加权辐射亮度比应≤0.0012W/( ·cd ·sr)（瓦每坎特拉每球面度）</w:t>
            </w:r>
          </w:p>
        </w:tc>
        <w:tc>
          <w:tcPr>
            <w:tcW w:w="7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CC047F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4C45A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9A08F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35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1FC1D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C8ACBE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C56CA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★显示屏低频闪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C411B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显示屏应支持低频闪≤-35dB</w:t>
            </w:r>
          </w:p>
        </w:tc>
        <w:tc>
          <w:tcPr>
            <w:tcW w:w="7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185067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5C075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371E8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36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60428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D8541A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71357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★显示屏防炫目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81605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显示器镜面反射率≤10%</w:t>
            </w:r>
          </w:p>
        </w:tc>
        <w:tc>
          <w:tcPr>
            <w:tcW w:w="7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E5643C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E3AA4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31146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37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601D2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576D4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外设规格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6043D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★传声器数量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42D08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≥1个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45E284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57E8D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1FD64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38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62F1E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6295A7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3EA5A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★扬声器数量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0F34B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≥1个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EE8E8A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7BAB1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22453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39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28DF9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BBF006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B0365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★鼠标数量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A1F01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≥1个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6510AD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4536C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C3088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40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071E3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A1935D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82F90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★键盘数量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9003A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≥1个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D157D7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14B5B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D1D38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41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33EBC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A7A73A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2FDDC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★触控板数量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E278A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≥1个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80D8FE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340686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785B2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42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4D411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63C7CA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82FD6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★摄像头数量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C53FE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≥1个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CB2A28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67127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CF406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43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512B6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84D66B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955E9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光驱数量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B1D25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≥0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D23A30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08DAC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2BBE6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44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A4BA5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8D69D2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7B67A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★键盘按键数目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5DB74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≥62键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4E2DD3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50241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D4901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45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118A8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28C87F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8A59F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★摄像头像素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7EA25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≥100万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B9F3B9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148C3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3DA0F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46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D2BEE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4C8DE8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B5702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★摄像头分辨率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CBE7C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≥1280x720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3580D3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8526C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F059F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47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7866F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DFCFDC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CBBB6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★内置扬声器功率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11028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≥1 瓦/个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62068F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0BEA8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CCE5D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48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F7CBD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77898B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6760A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★内置扬声器频率范围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C8FCD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100Hz-20kHz，其中 100Hz-200Hz：35dB及以上；200Hz-12kHz：55dB及以上，12kHz-18kHz：35dB及以上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07458F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4B7DD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90AAA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49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EA3CF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1A3928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95281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★内置扬声器总谐波失真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6390D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总谐波失真在300Hz-7kHz频率范围内宜不高于5%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AA56C4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DDE7C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524E5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50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CCA0B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4AC63D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8C034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★内置扬声器最大声压级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6B2AE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最大声压级在粉红噪声播放场景下，工作距离处声压级宜不低于70dB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63BFCA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3406F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D1F8C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51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CC8C4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FE57F9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5CBCF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★键盘键程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BEB37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0.9mm ~ 2.3mm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CBF3E5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55777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B8015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52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0DFB0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ABBF1D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6EA2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★键盘按键压力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2FE79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按键压力宜在0.3～0.8N之间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F6E0E3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66A319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15523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53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A3460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DB726C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92DC2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★键盘颜色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DF8E1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黑色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E44C20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F95B0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EF89E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54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B58CE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1FFD75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3C6F6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★鼠标连接方式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FB130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有线或无线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D5D3D8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264B5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1AB3C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55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9F98D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8E6224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C6032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★有线鼠标连接线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C9A91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≥1.5米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D77F70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A9F17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70726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56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3C23E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F013A1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A710F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★鼠标DPI分辨率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4E948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800~1600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360E4C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630280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071A4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57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A5133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76824C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08931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鼠标颜色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AFDD1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黑色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CD1F01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65282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40000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58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F360A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B89EF1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3B3E1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★鼠标其他要求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389E0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其它参数应符合GB/T26245的相关规定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3CB751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7B312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EC58B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59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2D84E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CBB2B3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0CCC9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★触控板尺寸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C8D20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≥70mm×50mm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CA099A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58B1E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CA4E5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60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830CA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0804E8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3A906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★触控板材质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432EC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采用麦拉片或玻璃等材质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88E487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D33C5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80C24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61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324F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BEB7D3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CEA3D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光驱规格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B8B93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本项目不需要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749734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CD45D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3F25B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62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13902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0F2F3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网络设备规格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DDA03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★有线网卡数量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81206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≥1（可通过扩展坞支持，如通过该方式，需提供扩展坞）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AE6E3B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FB8DE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1FAF4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63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E5FBD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9BE12D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F9978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无线网卡及天线数量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2329E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≥1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C09140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DB3BC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62BEF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64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D5D75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47BB21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69970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单无线网卡天线数量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F8756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≥0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4D5C0D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3F6A90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74033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65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97229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CE3D8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外部接口规格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BD0E4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★USB接口数量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E05B6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USB 接口数量应不少于5个，至少包含1个USB3.0及以上标准接口（可通过拓展坞实现）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A83CB5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E7250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AC51E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66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40C15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8BFFDD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88E54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★视频接口数量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D9004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≥1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86C491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074B8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1E360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67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B6D3D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548419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6ED07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★输入充电接口数量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A1DA3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≥1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73EBEE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EA2F0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E948F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68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E42D2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5FA957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CDE59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★音频接口数量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53935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≥1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C23247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40019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D4B9F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69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24EC0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1FD870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5E97F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存储卡接口数量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66766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≥0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A6F955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34ABF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E92C9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70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82563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6FC20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电池规格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0ADC7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★电池额定能量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9DFFF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≥70Wh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6701E0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06406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BC230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71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A583E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9204CA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25ED3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★电池充放电次数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086A6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≥500次（常温下500次充放电后电池容量应不低于原始容量的80%）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9DAD5B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21565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56E0D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72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EF077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9967EE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4F0C2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▲快速充电功能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96F44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支持快速充电功能，如UFCS、USB PD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676CDC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1AD5B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2B768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73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EF741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7FB8A7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9288D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★电池安全要求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4DB2F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符合GB31241的规定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057DAB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E8E5E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5797C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74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BCB9C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9E9BEA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A4ADF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电池电芯材质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5E995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供应商给出电池电芯材料信息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46C09C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28254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B115A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75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3DBD9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00376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整机基础规格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3EEC0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★整机外观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184AB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a) 产品表面不应有凹痕、划伤、裂缝、变形和污染等。表面涂层均匀，不应起泡、龟裂、脱落和磨损，金属零部件无锈蚀及其它机械损伤；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b) 产品表面说明功能的文字、符号、标志，应清晰、端正、牢固；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c) 宜在产品显著位置提供运行状态指示功能，并由生产厂商提供详细参数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D930CB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3EBDF4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5B0B4E">
            <w:pPr>
              <w:widowControl/>
              <w:jc w:val="righ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76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0DC4C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981CBF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EC1C2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★整机结构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8D071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a)产品应符合GB/T4208的相关规定；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b)产品内部结构应符合通用部件的安装需要；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c) 所有输入输出接口应符合相关国家或行业标准；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d) 产品零部件应紧固无松动，可插拔部件应可靠连接，开关、按钮和其它控制部件应灵活可靠，布局应方便使用；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e) 所有I/O连接器及需插接线缆的部位应预留用户操作空间，方便插拔解锁与插拔线缆；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f) 可插拔板卡插槽部位应预留安装、拆卸或更换板卡空间；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g) 拆装可能接触到的金属剪口或金属尖角部位应做防划伤处理，以保证安全；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h) 整机内部走线应规整，固线结构和位置要合理可靠并做防割线处理，需便于理线和插拔操作，走线应不影响系统各主要部件组装和拆卸；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i) 如需通过孔走线，过线孔应做防割线处理；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j) 各插头位置和插拔方向应合理，应做到插拔无障碍设计，具备防呆设计，有效避免误操作；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k) 各主要部件拆装无障碍，使用常规工具拆装，无特殊拆装工具需求；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l) 各主要部件拆装步骤要少，各自拆装需避免相互干扰；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m) 对于整机或零部件外表面为高亮面的，应粘贴保护膜，保护膜需粘贴牢固，运输、组装等过程不易脱落，撕下无残留；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n) 显示屏的开合机械寿命应能承受至少 15000 次的显示屏开合，显示屏机械转轴的扭力应保持初始状态下扭力的75%以上；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o) 其它要求应符合GB/T9813.2的相关规定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DF2111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4EFFF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B2745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77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3D2B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625D84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5327A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★整机噪音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720E7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25摄氏度环温条件：空闲小于等于38dBA，满载小于等于45dBA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671CA5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6B205C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0978A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78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EAAFE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FDB858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FAEBB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★整机散热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79895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产品在环境温度25℃且运行在满载的状态下，可触及面温度范围内应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不高于45℃,各表面温度应符合以下要求：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a) 键帽温度不高于38℃;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b) 键盘间隙温度不高于40℃;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c) 掌托温度不高于38℃;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d) 触控板温度不高于38℃;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e) 底壳温度不高于45℃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342B05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79FF3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14FD0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79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A5F29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75FCB5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FC02A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★整机能效限定值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7D79E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产品能效限定值应达到GB28380-2012标准中能效等级2级及以上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A01B71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602196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44A18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80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DBF8D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B6C2F5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5D082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★整机重量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57109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≤2.2kg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CA3ED3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2345A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8C337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81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B3AB5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5D1059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F84A9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★整机厚度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5AE27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≤22mm（不含脚垫）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A655A8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D8F4B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1EE4F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82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CA2F4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B7CB4D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6117B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机身材质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A5DF0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金属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0A3974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6D8F2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22FB1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83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EE041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产品规格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2E0BE6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D9DD2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★机身颜色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4BDD9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灰色/黑色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B7AB34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4AC5A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B89F6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84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6A687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性能要求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A2AAA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CPU性能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CD8298"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bidi="ar"/>
              </w:rPr>
              <w:t>★CPU物理核数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C4042B"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bidi="ar"/>
              </w:rPr>
              <w:t>≥8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8D5FFC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6212CD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F7F3E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85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4848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性能要求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E17018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E83666"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bidi="ar"/>
              </w:rPr>
              <w:t>★CPU主频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E9FAB7"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bidi="ar"/>
              </w:rPr>
              <w:t>≥2.5GHz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282097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9131B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CD478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86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F15C9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性能要求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329BA2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BB77BE"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bidi="ar"/>
              </w:rPr>
              <w:t>★CPU末级缓存容量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0971B7"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bidi="ar"/>
              </w:rPr>
              <w:t>≥4MB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C7807D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E57BF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3C1F3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87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C737A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性能要求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27873C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56393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★CPU支持的内存最高速率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F2E3F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≥4800MT/s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1E8DBE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6BF39B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7CB51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88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ADF37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性能要求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B60F7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内存性能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E525D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★内存读写速率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C38C3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≥4800MT/s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E929AD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311268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C1945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89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AC05E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性能要求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CB59E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显卡性能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877AB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★显示分辨率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1B8BE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≥1920x1080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306095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EF02F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2BA61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90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5B903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性能要求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98B0D2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487F8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★显卡显示芯片核心频率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FCD30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≥300MHz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9BE211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6E758E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58E43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91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7CED4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性能要求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C5933D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3F095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★显存等效频率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A1C90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≥1000MT/s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051BFA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2F6CF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51B80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92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A5FDE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性能要求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25212C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5194B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★显卡可支持多屏同时显示数量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CFA6A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显卡应支持2块屏幕同时显示，分辨率应不低于</w:t>
            </w:r>
            <w:r>
              <w:rPr>
                <w:rFonts w:ascii="宋体" w:hAnsi="宋体" w:cs="宋体"/>
                <w:sz w:val="24"/>
                <w:highlight w:val="none"/>
              </w:rPr>
              <w:t>1920×1080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00322F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9C4FC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1F647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93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BB726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性能要求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9BB76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显示设备性能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AB860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★显示屏刷新率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14885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≥60Hz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C75BEF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31B551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5C57C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94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CE129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性能要求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366DE8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9B60F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★显示屏位深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B3FA2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≥8位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CC6CAE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3E365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DC77B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95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E103A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性能要求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1FD428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D2E1C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★显示屏色域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84E2C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≥99% sRGB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94E7A9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09C89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9F466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96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441CA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性能要求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39CD2D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97B52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★显示屏色准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456C5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△E≤4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99C9F4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F68EA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B4AFE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97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045E7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性能要求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31EBB6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89495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★显示屏响应时间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CF7AF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≤30ms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0E2397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1F968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4EF51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98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F626F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性能要求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714C7F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F5D68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★显示屏亮度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29B2F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≥250尼特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59D0CF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6B2A3C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B7CA9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99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3EAE2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性能要求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797836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7443D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★显示屏亮度一致性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03C63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≥70%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D53156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E70BF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45980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100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F61A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性能要求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7A6CAE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E96A9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★显示屏对比度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D3BFB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≥500：1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A6BCC9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15567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5CABF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101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2D301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性能要求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E9643C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B90AD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★显示屏其他参数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D3870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其它参数应符合SJ/T 11292 的相关规定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ABC70E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5B080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2AB9A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102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57F31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性能要求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4E137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网络设备性能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C82B5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★有线网卡速率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2C737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最高速率不低于1000Mbps，支持10Mbps、100Mbps、1000Mbps 速率自适应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819FF5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28AFC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EAD93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103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383F2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性能要求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428510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B1A7F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★支持无线网络通信技术协议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A4529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支持WAP I或WiFi5.0及以上协议，支持IPV6网络协议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5601BB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1419E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9C023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104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C1F84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性能要求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50D1EC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E154A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★无线网卡频宽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BDC86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≥20MHz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C57B31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5653B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EF0D5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105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65E2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性能要求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71E8A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电源适配器性能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AE516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★电源适配器电源效率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D3471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在20%/50%/100%负载下效率均应不低于87%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149BD7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627773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D3054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106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14BC7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性能要求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92340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待机性能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FB119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★满载待机性能（LTP）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42261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≥1.5小时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A2601F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51028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7915F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107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2684D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B0C42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主板功能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F052F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★内存扩展接口(板载内存不涉及)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D7C0D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供应商给出内存扩展接口数量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D4B85C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463C9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36412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108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D01D7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C15D6D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07C9F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存储扩展接口(板载存储不涉及)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C9B16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供应商给出主板支持存储扩展接口类型，如 UFS3.0、SATA3.0、SAS3.0、M.2 等类型接口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2B9E4F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5388C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AFA67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109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FDE5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6E971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EDFDA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★主板USB瞬间过流保护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DFB6C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支持瞬间过流保护功能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17CBBA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3E477A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18569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110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43899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4ACA6A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12536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★主板防静电保护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081A8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支持防静电保护功能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E36815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6ACDE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087A2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111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6CB42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C6FE3C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FB1C8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★I/O接口功能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D0615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内置或通过扩展坞支持数据传输接口、视频接口、音频接口、网络接口、电源接口等各类标准接口产品应集成键盘、触控板输入部件，同时应具备接入键盘、鼠标、写字板等外设的能力，宜支持触摸屏、语音交互、手写笔等人机交互功能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DD74BC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62AB6C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209A6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112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54C71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37DB0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显卡功能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795AA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★显卡外接显示接口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A219C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至少支持VGA、HDMI、DVI、DP、Type-C中1种显示接口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1E6692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6644AF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A509B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113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F6A4B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B7F36F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EBC17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★显示功能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CC9BD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支持显示屏，同时应支持外接显示器。显示屏和外接显示器应支持多屏同时显示，显示模式应支持复制模式和扩展模式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E063CD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596C7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E8989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114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B18BA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3A5D5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外设功能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52258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摄像头物理隐私保护开关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5A8B5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ascii="宋体" w:hAnsi="宋体" w:cs="宋体"/>
                <w:sz w:val="24"/>
                <w:highlight w:val="none"/>
              </w:rPr>
              <w:t>支持物理隐私保护开关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5CD0B5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1AB1B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072F2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115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22DDB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E5FB76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F27F6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传声器降噪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561A3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支持降噪功能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73C50B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259EC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71A60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116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9671F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7A3ADB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9AC81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音频处理功能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9C302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支持音频效果处理功能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3A3BBA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DC46F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8AD52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117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7FA6A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66DBCA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14650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键盘背光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3A7BE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支持键盘背光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86FBE6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3C709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71882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118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9442A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DAA6B5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D554A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触控板多点触控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02404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支持2点及以上触控功能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8A37B7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31699E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B9EEF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119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C798A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FC8782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DA45B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★光驱功能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33953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光驱应支持只读、刻录等类型；最大读取速度 CD 不低于24×</w:t>
            </w:r>
          </w:p>
          <w:p w14:paraId="027D73B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150KB/s；最大读取速度 DVD 不低于8×1358KB/s；最大刻录速度 CD 不低于24×150KB/s；</w:t>
            </w:r>
          </w:p>
          <w:p w14:paraId="2D52D8A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最大刻录速度 DVD 不低于6×</w:t>
            </w:r>
          </w:p>
          <w:p w14:paraId="7BBDF21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1358KB/s；应兼容光盘类型包含只读光盘、可读写光盘、可擦写光盘等（本项目不需要）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50B912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D0622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74F6C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120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F2CBE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3600E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存储功能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DDC16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★存储功能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BDAEA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支持信息存储功能，包括支持易失性存储功能和非易失性存储功能。为提升存储性能和降低存储功耗，非易失性存储宜支持固态存储设备，如SSD/UFS。产品应支持外出接口可以与独立的存储设备进行数据交互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2F9568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69EF14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99402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121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F9A96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9BDAC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网络设备功能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17C18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★网络功能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32A68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a)支持网络连接、网络开启/关闭功能；b)支持访问网络和数据交换功能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29D856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BDB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C7B8D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122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05D6E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24853B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3E6BD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★无线网卡频段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C904C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支持双频段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3E8AC3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F2FBE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C5247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123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05856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590820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C5ADB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物理开关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5920E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本项目不需要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4893C8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DEF4C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1226D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124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FA1E3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5805A5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1BB7A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★数据传输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93E1B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支持数据传输能力，并提供数据流量和异常日志记录功能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103B05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7EAA9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1A99D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125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93AD9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F72886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38156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★蓝牙协议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0E7C3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支持蓝牙模块，蓝牙协议不低于5.0版本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9D12D7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7F4C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E0A80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126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2AE44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70D174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4B319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有线网卡接口类型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60683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支持RJ45接口或拓展坞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2300C4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F1554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C6501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127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075BB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3AD51D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6EC0A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★无线网卡标准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3F001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符合GB15629.11所有部分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A00B1F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CF9D5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C90D5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128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28717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640D7B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5A483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网络设备拆装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F4DAE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网络设备应支持物理拆装，包括无线网卡和蓝牙模块等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4F606E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6B48FE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F15A9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129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9C9FE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16DE2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外部接口功能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70A00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★音频接口类型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67BC1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不少于1个，宜支持3.5mm孔径的3段式或4段式接口。若支持4段式接口，宜支持线序的自动识别及切换功能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6F65DC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1653F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E77FB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130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65727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F0F1E0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D9DB5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★视频接口类型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BBCA5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至少支持VGA、HDMI、DVI、DP、Type-C中1种显示接口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0415A7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CB113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7F943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131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3C431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614E90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073F4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★HDMI、DP、Type-C显示接口要求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3F552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若提供HDMI或DP或Type-C作为显示接口，应支持音频和视频同步输出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AD283B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60456E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AC21C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132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8AE06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90C971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ED389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★输入充电接口类型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E8625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DC in或Type-C接口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7FECEC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6A44E2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02C5B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133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73C30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9B8A9C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EF3FA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其他接口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4D7DB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本项目不需要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A3C9D1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BD836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F9D51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134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6609B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43C7F4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33291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存储卡接口类型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C0F1A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本项目不需要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DBEA2B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325D3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AA1C6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135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7578A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97972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电源功能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164B5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电池快充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3C1BF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支持快速充电功能，如 UFCS、USB PD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37BB44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7CF0E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CFAF8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136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3912B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CCB358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EBFF9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★电源线适配能力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E3885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符合GB 15934-2008对于可拆线插头GB15934不做要求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FA4A2E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3C0B0E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2AB84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137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0E65F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2F042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操作系统及软件功能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DAD6A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★中文信息处理要求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40D9A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符合GB18030的相关规定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C7CD59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354210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DB368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138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9E46D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0B01C1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F123E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★操作系统备份及还原功能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3C853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支持操作系统备份及还原功能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9DDD1C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38FB0B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AED1D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139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CB6A0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75137C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45E22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★固件备份还原能力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857FA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支持备份及还原固件的功能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679B79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5CEFA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A0D55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140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DA873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D95F85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EECD0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★操作系统及驱动升级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65C8D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支持通过网络、闪存盘等方式对操作系统、驱动进行升级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FA7C46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B6A88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E1996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141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F9944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E0A0B4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453ED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固件升级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8F2E7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支持通过网络、闪存盘等方式对固件进行升级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D630A3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61AC12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D6677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142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59668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17B59F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25683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★BIOS支持关闭通讯接口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EC8E3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支持BIOS关闭以太网及USB接口功能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27CC73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6C9D8C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48A6C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143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E4E4A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DACB9D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67F9E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★固件查看信息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C1C97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支持查看固件版本、内存信息、主板信息、处理器信息和系统时间信息等功能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F5C051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6AB833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2A9FF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144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FA103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846200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09155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★固件设置启动顺序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5401B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支持设置启动顺序功能，并按照设置的启动顺序启动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BE2628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90A98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DC3EA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145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BDB23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714E6A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03A83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★固件设置口令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DC73C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支持设置口令、修改口令、验证口令功能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9B1D0C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D99AB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9B14C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146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608F5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3B497B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A9895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★固件设置网络引导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B22E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支持网络引导启动和关闭功能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9E4E67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2DDE1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0DF9B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147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83E3A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F33F2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生物识别功能（满足其中之一）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5BDE0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指纹识别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683C9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指纹识别功能符合GB/T37742的相关规定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AA6236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34D24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96E26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148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A7C41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4FC4F2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BE8E1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人脸识别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68CC1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人脸识别功能符合GB/T37036.3的相关规定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BAF23C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DFB28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EB062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149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9C433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EB98F7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3F328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静脉识别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B260C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指静脉识别功能符合GB/T33135的相关规定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71E015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DDBDC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3CAB5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150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5134F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90DE9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硬件加速功能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FC00E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NPU/GPU等AI加速模块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62313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支持NPU/GPU等AI加速模块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3AB274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A7866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FD315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151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AA78C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6D4906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2753F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视频编解码加速模块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1368E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支持视频编解码加速模块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F18FD1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6FA3C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90B58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152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D04A1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功能要求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A50289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CA52B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影像处理加速模块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639EC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支持影像处理加速模块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306667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3D09BC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2F79E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153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B2FE6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可靠性要求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2C347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存储设备可靠性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C0EA1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★固态存储寿命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D6D91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TBW≥80TB（条件：240GB硬盘容量）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341A39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39365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0C612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154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024E7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可靠性要求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A6DA90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FEC29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★机械硬盘寿命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689F6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通电时间≥5 万小时（本项目不需要）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AF090C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F5DC3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C3F84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155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21656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可靠性要求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80BC0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显示设备可靠性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812F3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★显示屏屏幕失效点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B2802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符合GB/T9813.2的要求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6B979F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13632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55BF4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156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FCEB7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可靠性要求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F50CC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外设可靠性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E5B3D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★键盘按键寿命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59073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≥1000万次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957003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AD567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15E52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157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7F347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可靠性要求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F213B6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6411C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★鼠标按键寿命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9B20F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≥500万次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F00484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89354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F670B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158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0C6B8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可靠性要求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9DD582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B38C8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★键盘鼠标线材寿命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9478D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键盘鼠标所用线材经±60 °弯折不低于3000次，功能、外观完好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A194A8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CE26F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40E71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159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89091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可靠性要求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4AC857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5E80A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★风扇寿命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2524F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≥4万小时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FBF80F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D0EFB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4C5C7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160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9CE35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可靠性要求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45DC8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整机可靠性要求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C62DC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★电磁兼容性要求的抗扰度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4C2AA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符合GB/T 9254.2的规定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BD0222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D5C26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71F2A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161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BFDF9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可靠性要求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ED7674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C4047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★环境条件要求的气候环境适应性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8A955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符合GB/T 9813.2中规定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83D8E0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3002E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5C7EB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162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683D7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可靠性要求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41B83C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B585D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★环境条件要求的振动适应性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E0D6B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符合GB/T 9813.2中规定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7127E3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6A881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E0430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163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32FCB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可靠性要求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BF886B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192F1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★环境条件要求的冲击适应性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51ADC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符合GB/T 9813.2中规定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809D31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60BFA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7C55D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164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E3FD5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可靠性要求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E554D3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C7099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★环境条件要求的碰撞适应性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1CF31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符合GB/T 9813.2中规定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54B3E4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3C0AC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FB283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165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B4265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可靠性要求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02A39C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06D3D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★环境条件要求的自由跌落适应性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C8E52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符合GB/T 9813.2中规定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4A405B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B791C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854C5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166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3F1BF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可靠性要求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1CF592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56108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★环境条件要求的运输包装跌落适应性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E2AF6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符合GB/T 9813.2中规定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7F476B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4DB7C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A555D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167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B60AC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可靠性要求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F67D17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2C0CB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★MTBF测试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4217D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MTBF(m1)≥3万小时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20C5F7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398859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C4B3B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168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B4500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兼容要求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F20CF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兼容要求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90A9E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★常用软件兼容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E4128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支持流式软件、版式软件、浏览器、邮件客户端、解压软件、多媒体、图形图像处理等常用软件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3596AB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50374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879A3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169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8CB5F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兼容要求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BF4AC9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FC2E4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★数据库兼容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47946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兼容3个及以上厂商的数据库产品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D91C08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CFC1D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528B1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170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C81D8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兼容要求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CC5B6D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56796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★中间件兼容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EC68C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兼容3个及以上厂商中间件产品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771D13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EF6B9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A59E4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171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41696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兼容要求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C7A812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36AC1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★平台软件兼容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B776D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兼容3个及以上厂商云计算及大数据平台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DFEE31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4313C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E7106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172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BDC6E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包装及运输要求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6D52A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包装及运输要求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C3E01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★标志、包装、运输和贮存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81E4C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符合GB/T9813.2和商品包装政府采购需求标准的相关规定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21D0E5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32F7D7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EBAA0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173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716C0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服务要求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CC35B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服务要求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45136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★配置检查工具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AAA15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提供自检测试工具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C8070D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6AE0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33F1F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174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C6755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服务要求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B49AB1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A468F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★服务响应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A2694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a）提供产品3年维保及上门服务（满足同城4小时、异地12小时响应要求）；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b）提供政企专线7*24在线服务；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c）现场保障技术服务团队员，国内上门服务地级市覆盖率达 100%</w:t>
            </w:r>
          </w:p>
        </w:tc>
        <w:tc>
          <w:tcPr>
            <w:tcW w:w="7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4CF53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3F36D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C7DFC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175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343B9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服务要求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B97B5A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861B8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★服务周期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BC9BD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支持产品延保≥3年，提供每年延保服务报价，提供备件服务能力≥6年（自购买之日起）</w:t>
            </w:r>
          </w:p>
        </w:tc>
        <w:tc>
          <w:tcPr>
            <w:tcW w:w="7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29FDC2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8398A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FB8D0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176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85EB2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服务要求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4D8484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FCD99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★预装操作系统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99C8D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预装符合桌面操作系统政府采购需求标准的正版操作系统</w:t>
            </w:r>
          </w:p>
        </w:tc>
        <w:tc>
          <w:tcPr>
            <w:tcW w:w="7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EBC8DA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1304C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7A933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177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E11D3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服务要求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CAF263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A77EB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★培训服务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C6513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供应商提供培训材料、产品手册、培训视频等培训相关内容</w:t>
            </w:r>
          </w:p>
        </w:tc>
        <w:tc>
          <w:tcPr>
            <w:tcW w:w="7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7D39AF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326B3B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09681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178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B4148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服务要求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2D2268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E653B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★典型问题解决手册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A63EE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供应商提供典型问题解决说明文档或视频</w:t>
            </w:r>
          </w:p>
        </w:tc>
        <w:tc>
          <w:tcPr>
            <w:tcW w:w="7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90BBAC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BCA5B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7B91F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179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86F11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服务要求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BE72D6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AE68E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★厂家升级软与扩容服务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272A4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提供应商供上门升级部件/软件的增值服务</w:t>
            </w:r>
          </w:p>
        </w:tc>
        <w:tc>
          <w:tcPr>
            <w:tcW w:w="7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9C5B14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BDE24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E64AF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180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98867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服务要求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8E5F72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9D644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★整机质量服务要求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05F51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免费服务周期（含换件和维修）应不小于3年</w:t>
            </w:r>
          </w:p>
        </w:tc>
        <w:tc>
          <w:tcPr>
            <w:tcW w:w="7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3D884C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68337D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7137B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181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69B8C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服务要求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962194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64F71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★合格证书要求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4CCB3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供应商提供产品合格证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9D4E60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41707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EC5F4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182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CF245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服务要求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1E322F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4F017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★开箱组装/使用指导要求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4D047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供应商提供开箱组装/使用指导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E96638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4AF1B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6C792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183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D61A5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服务要求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5C9CEB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26F6F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★驱动下载服务要求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45D75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供应商提供驱动光盘或下载方式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714B9C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9860C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8ACE3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184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E1FDA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服务要求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535929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D1DDE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★兼容适配软件下载服务要求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6CAB1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供应商提供兼容适配软件下载渠道（光盘、网站）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70137E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27B0D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5F1A4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185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5BBED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服务要求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95DD57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6C14E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跨架构平台应用兼容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E8FF2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供应商提供跨架构平台应用兼容工具，兼容一种或者一种以上不同架构平台的应用运行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A30F28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1F8ED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116FC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186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F3EF2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供应保障要求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331E5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供应链合规性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ABD6B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★产品部件保障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77737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保障产品主要部件，应提供6年的备件服务能力(自购买之日起)，或提供可兼容原设备的升级换代产品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D16DF2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4695C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3667B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187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CD942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供应保障要求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58F7C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供应链质量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1700D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★抗干扰性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FB4C9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当产品部件出现供应风险时，供应商应通知采购人并提供风险应对方案确保产品的服务保障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ED7C53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FBCE7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52B20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188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ADE67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供应保障要求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56C67A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73488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★供应能力证明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F26C8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提供供应链稳定承诺书，确保产品的部件在产品服务周期内稳定供货</w:t>
            </w:r>
            <w:r>
              <w:rPr>
                <w:rStyle w:val="7"/>
                <w:rFonts w:hint="eastAsia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cs="宋体"/>
                <w:b/>
                <w:bCs/>
                <w:sz w:val="24"/>
                <w:highlight w:val="none"/>
              </w:rPr>
              <w:t>提供加盖投标人公章的承诺函</w:t>
            </w:r>
            <w:r>
              <w:rPr>
                <w:rFonts w:hint="eastAsia" w:ascii="宋体" w:hAnsi="宋体" w:cs="宋体"/>
                <w:b/>
                <w:bCs/>
                <w:sz w:val="24"/>
                <w:highlight w:val="none"/>
                <w:lang w:eastAsia="zh-CN"/>
              </w:rPr>
              <w:t>。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D9F633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E5D64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47EDA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189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A9ACC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安全要求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7BD14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关键部件安全要求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9A3244"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highlight w:val="none"/>
              </w:rPr>
              <w:fldChar w:fldCharType="begin"/>
            </w:r>
            <w:r>
              <w:rPr>
                <w:highlight w:val="none"/>
              </w:rPr>
              <w:instrText xml:space="preserve"> HYPERLINK \l "Sheet1!A204" </w:instrText>
            </w:r>
            <w:r>
              <w:rPr>
                <w:highlight w:val="none"/>
              </w:rPr>
              <w:fldChar w:fldCharType="separate"/>
            </w:r>
            <w:r>
              <w:rPr>
                <w:rStyle w:val="6"/>
                <w:rFonts w:hint="eastAsia" w:ascii="宋体" w:hAnsi="宋体" w:cs="宋体"/>
                <w:color w:val="auto"/>
                <w:sz w:val="24"/>
                <w:highlight w:val="none"/>
                <w:u w:val="none"/>
              </w:rPr>
              <w:t>★关键部件安全要求</w:t>
            </w:r>
            <w:r>
              <w:rPr>
                <w:rStyle w:val="6"/>
                <w:rFonts w:hint="eastAsia" w:ascii="宋体" w:hAnsi="宋体" w:cs="宋体"/>
                <w:color w:val="auto"/>
                <w:sz w:val="24"/>
                <w:highlight w:val="none"/>
                <w:u w:val="none"/>
              </w:rPr>
              <w:fldChar w:fldCharType="end"/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C9B115"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bidi="ar"/>
              </w:rPr>
              <w:t>CPU和操作系统等关键部件应当符合安全可靠测评要求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838FB9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提供安全可靠测评通过的官网截图并加盖投标人公章</w:t>
            </w:r>
          </w:p>
        </w:tc>
      </w:tr>
      <w:tr w14:paraId="0E52E9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066BB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190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EBC0D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安全要求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78C63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整机安全性要求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64762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USB端口管控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88521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支持USB端口管控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C3FC9C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EF707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6E434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191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EB375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安全要求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A448D2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693AB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★密码算法实现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BE0D9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CPU芯片应符合GM/T 0008的相关规定，或芯片密码模块应符合GB/T37092或GM/T0028的相关规定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A18669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55CB7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046C1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192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A6403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安全要求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C3B63A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1BD20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安全物理锁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E9F64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支持安全物理锁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6DF972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75DAA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209B0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193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DB2CE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安全要求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82A3DF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74446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★信息安全基本要求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6BABB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a)应符合GB/T 39276的5.2的规定；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b)生产厂商应建立漏洞跟踪表，保证产品版本涉及到的漏洞(如驱动程序等)可查看；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c)不得包含已知的恶意代码或漏洞，不存在未声明的指令、功能、接口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AB07A4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CB232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591BE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194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5A493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安全要求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696440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0F82D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★固件安全启动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438E5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支持固件安全启动功能，固件启动过程中只有通过启动校验才能正常启动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2E7C2E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28A07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37D43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195 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A6A1F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安全要求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7891E7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FA947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★限用物质的限量要求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447CC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符合GB/T26572中规定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A0ECAE">
            <w:pPr>
              <w:jc w:val="left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6D1861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1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CF315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196</w:t>
            </w:r>
          </w:p>
        </w:tc>
        <w:tc>
          <w:tcPr>
            <w:tcW w:w="9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52441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预装软件要求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7DA2A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操作系统要求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8B28BB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★授权承诺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C39DF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1）软件授权许可证需直接授权甲方，且提供三年（含）以上售后服务，授权永久使用授权，售后服务授权期内提供重要版本及安全补丁更新服务。（所涉及费用包含在投标报价中）</w:t>
            </w:r>
          </w:p>
          <w:p w14:paraId="268A229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2）授权服务期内承载的硬件设备损坏或报废，此授权可以转移到用户更新的硬件设备继续使用；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10330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提供加盖投标人公章的承诺函</w:t>
            </w:r>
          </w:p>
        </w:tc>
      </w:tr>
      <w:tr w14:paraId="0A1D8E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594EC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197</w:t>
            </w: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3FD0A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451D8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D00E7F">
            <w:pPr>
              <w:jc w:val="center"/>
              <w:rPr>
                <w:rFonts w:hint="eastAsia"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主要功能要求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D31F28">
            <w:pPr>
              <w:pStyle w:val="9"/>
              <w:numPr>
                <w:ilvl w:val="0"/>
                <w:numId w:val="0"/>
              </w:numPr>
              <w:snapToGrid w:val="0"/>
              <w:jc w:val="left"/>
              <w:rPr>
                <w:rFonts w:hint="eastAsia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1）桌面环境：系统默认集成桌面环境。主要由设备管理器、启动盘制作工具、安全中心等组成。</w:t>
            </w:r>
          </w:p>
          <w:p w14:paraId="00D916DF">
            <w:pPr>
              <w:pStyle w:val="9"/>
              <w:numPr>
                <w:ilvl w:val="0"/>
                <w:numId w:val="0"/>
              </w:numPr>
              <w:snapToGrid w:val="0"/>
              <w:jc w:val="left"/>
              <w:rPr>
                <w:rFonts w:hint="eastAsia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2）打印管理：默认集成打印管理器软件，支持图片批量打印，在图形化界面一次选中多张图片，一键选择，即可批量打印图片。</w:t>
            </w:r>
          </w:p>
          <w:p w14:paraId="496CA418">
            <w:pPr>
              <w:pStyle w:val="9"/>
              <w:numPr>
                <w:ilvl w:val="0"/>
                <w:numId w:val="0"/>
              </w:numPr>
              <w:snapToGrid w:val="0"/>
              <w:jc w:val="left"/>
              <w:rPr>
                <w:rFonts w:hint="eastAsia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3）利旧兼容：能够对现有常见品牌外设提供利旧驱动兼容。</w:t>
            </w:r>
          </w:p>
          <w:p w14:paraId="4563CF40">
            <w:pPr>
              <w:pStyle w:val="9"/>
              <w:numPr>
                <w:ilvl w:val="0"/>
                <w:numId w:val="0"/>
              </w:numPr>
              <w:snapToGrid w:val="0"/>
              <w:jc w:val="left"/>
              <w:rPr>
                <w:rFonts w:hint="eastAsia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4）磁盘管理：操作系统提供硬盘管理工具，显示硬盘容量及硬盘信息，支持新建和删除硬盘分区，分区支持EXT3、EXT4、FAT32、NTFS、XFS、exFAT、Btrfs等文件系统格式。支持磁盘健康检测、坏道检测与修复，分区挂载与卸载，分区表错误检查等功能。</w:t>
            </w:r>
          </w:p>
          <w:p w14:paraId="0F643A41">
            <w:pPr>
              <w:pStyle w:val="9"/>
              <w:numPr>
                <w:ilvl w:val="0"/>
                <w:numId w:val="0"/>
              </w:numPr>
              <w:snapToGrid w:val="0"/>
              <w:jc w:val="left"/>
              <w:rPr>
                <w:rFonts w:hint="eastAsia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5）密码找回或重置：忘记系统登录密码后，支持在公网环境、离线环境下通过手机号或邮箱方式快速找回密码。或支持在公网环境、离线环境下重置密码。</w:t>
            </w:r>
          </w:p>
          <w:p w14:paraId="5017D7FC">
            <w:pPr>
              <w:pStyle w:val="9"/>
              <w:numPr>
                <w:ilvl w:val="0"/>
                <w:numId w:val="0"/>
              </w:numPr>
              <w:snapToGrid w:val="0"/>
              <w:jc w:val="left"/>
              <w:rPr>
                <w:rFonts w:hint="eastAsia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6）OS AI能力：</w:t>
            </w:r>
            <w:r>
              <w:rPr>
                <w:rFonts w:hint="eastAsia" w:cs="宋体"/>
                <w:kern w:val="0"/>
                <w:sz w:val="24"/>
                <w:szCs w:val="24"/>
                <w:highlight w:val="none"/>
              </w:rPr>
              <w:t>默认集成AI应用，支持用户调用AI能力进行内容创作、文生文、智能问答、系统控制等功能，兼容主流大模型。</w:t>
            </w:r>
          </w:p>
          <w:p w14:paraId="37090175">
            <w:pPr>
              <w:pStyle w:val="9"/>
              <w:numPr>
                <w:ilvl w:val="0"/>
                <w:numId w:val="0"/>
              </w:numPr>
              <w:snapToGrid w:val="0"/>
              <w:jc w:val="left"/>
              <w:rPr>
                <w:rFonts w:hint="eastAsia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7）适配现有全国法院一张网系统。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31F755">
            <w:pPr>
              <w:pStyle w:val="9"/>
              <w:numPr>
                <w:ilvl w:val="0"/>
                <w:numId w:val="0"/>
              </w:numPr>
              <w:snapToGrid w:val="0"/>
              <w:spacing w:line="480" w:lineRule="exact"/>
              <w:jc w:val="left"/>
              <w:rPr>
                <w:rFonts w:hint="eastAsia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需提供功能截图并加盖投标人公章</w:t>
            </w:r>
          </w:p>
          <w:p w14:paraId="7E5E2C6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</w:pPr>
          </w:p>
        </w:tc>
      </w:tr>
    </w:tbl>
    <w:p w14:paraId="596F33FE">
      <w:pPr>
        <w:spacing w:line="560" w:lineRule="exact"/>
        <w:ind w:firstLine="480" w:firstLineChars="200"/>
        <w:contextualSpacing/>
        <w:rPr>
          <w:rFonts w:hint="eastAsia" w:ascii="宋体" w:hAnsi="宋体" w:cs="宋体"/>
          <w:sz w:val="24"/>
          <w:highlight w:val="none"/>
        </w:rPr>
      </w:pPr>
    </w:p>
    <w:p w14:paraId="408FB797">
      <w:pPr>
        <w:pStyle w:val="2"/>
        <w:rPr>
          <w:rFonts w:hint="eastAsia" w:cs="宋体"/>
          <w:highlight w:val="none"/>
        </w:rPr>
      </w:pPr>
    </w:p>
    <w:p w14:paraId="4D428FFE">
      <w:pPr>
        <w:spacing w:line="560" w:lineRule="exact"/>
        <w:ind w:firstLine="480" w:firstLineChars="200"/>
        <w:contextualSpacing/>
        <w:outlineLvl w:val="2"/>
        <w:rPr>
          <w:rFonts w:hint="eastAsia" w:ascii="宋体" w:hAnsi="宋体" w:cs="宋体"/>
          <w:sz w:val="24"/>
          <w:highlight w:val="none"/>
        </w:rPr>
      </w:pPr>
      <w:r>
        <w:rPr>
          <w:rFonts w:hint="eastAsia" w:ascii="宋体" w:hAnsi="宋体" w:cs="宋体"/>
          <w:sz w:val="24"/>
          <w:highlight w:val="none"/>
        </w:rPr>
        <w:t>2.2为落实政府采购政策需满足的要求</w:t>
      </w:r>
    </w:p>
    <w:p w14:paraId="32873FC6">
      <w:pPr>
        <w:spacing w:line="560" w:lineRule="exact"/>
        <w:ind w:firstLine="480" w:firstLineChars="200"/>
        <w:contextualSpacing/>
        <w:rPr>
          <w:rFonts w:hint="eastAsia" w:ascii="宋体" w:hAnsi="宋体" w:cs="宋体"/>
          <w:sz w:val="24"/>
          <w:highlight w:val="none"/>
        </w:rPr>
      </w:pPr>
      <w:r>
        <w:rPr>
          <w:rFonts w:hint="eastAsia" w:ascii="宋体" w:hAnsi="宋体" w:cs="宋体"/>
          <w:sz w:val="24"/>
          <w:highlight w:val="none"/>
        </w:rPr>
        <w:t>投标人所投所有产品均满足《台式计算机政府采购需求标准（2023年版）》（财库〔2023〕29号）、《便携式计算机政府采购需求标准（2023年版）》（财库〔2023〕30号）、《操作系统政府采购需求标准（2023年版）》（财库〔2023〕34号）、《关于印发节能产品政府采购品目清单的通知》（财库〔2019〕19号）、《关于调整优化节能产品、环境标志产品政府采购执行机制的通知》（财库〔2019〕9号）、《关于印发环境标志产品政府采购品目清单的通知》《财库〔2019〕18号)的要求。</w:t>
      </w:r>
    </w:p>
    <w:p w14:paraId="6911AD4B">
      <w:pPr>
        <w:spacing w:line="560" w:lineRule="exact"/>
        <w:ind w:firstLine="480" w:firstLineChars="200"/>
        <w:contextualSpacing/>
        <w:rPr>
          <w:rFonts w:hint="eastAsia" w:ascii="宋体" w:hAnsi="宋体" w:cs="宋体"/>
          <w:sz w:val="24"/>
          <w:highlight w:val="none"/>
        </w:rPr>
      </w:pPr>
      <w:r>
        <w:rPr>
          <w:rFonts w:hint="eastAsia" w:ascii="宋体" w:hAnsi="宋体" w:cs="宋体"/>
          <w:sz w:val="24"/>
          <w:highlight w:val="none"/>
        </w:rPr>
        <w:t>2.3需由投标人提供的方案</w:t>
      </w:r>
    </w:p>
    <w:p w14:paraId="409D26D1">
      <w:pPr>
        <w:spacing w:line="560" w:lineRule="exact"/>
        <w:ind w:firstLine="480" w:firstLineChars="200"/>
        <w:contextualSpacing/>
        <w:rPr>
          <w:rFonts w:hint="eastAsia" w:ascii="宋体" w:hAnsi="宋体" w:cs="宋体"/>
          <w:sz w:val="24"/>
          <w:highlight w:val="none"/>
        </w:rPr>
      </w:pPr>
      <w:r>
        <w:rPr>
          <w:rFonts w:hint="eastAsia" w:ascii="宋体" w:hAnsi="宋体" w:cs="宋体"/>
          <w:sz w:val="24"/>
          <w:highlight w:val="none"/>
        </w:rPr>
        <w:t>实施方案包括但不限于：实施计划、交货安排、项目进度、质量保证，风险控制、技术支持服务流程和规范、培训等内容。</w:t>
      </w:r>
    </w:p>
    <w:p w14:paraId="41B09764">
      <w:pPr>
        <w:spacing w:line="560" w:lineRule="exact"/>
        <w:ind w:firstLine="480" w:firstLineChars="200"/>
        <w:contextualSpacing/>
        <w:outlineLvl w:val="1"/>
        <w:rPr>
          <w:rFonts w:hint="eastAsia" w:ascii="宋体" w:hAnsi="宋体" w:cs="宋体"/>
          <w:sz w:val="24"/>
          <w:highlight w:val="none"/>
        </w:rPr>
      </w:pPr>
      <w:r>
        <w:rPr>
          <w:rFonts w:hint="eastAsia" w:ascii="宋体" w:hAnsi="宋体" w:cs="宋体"/>
          <w:sz w:val="24"/>
          <w:highlight w:val="none"/>
        </w:rPr>
        <w:t>3. 项目周期</w:t>
      </w:r>
    </w:p>
    <w:p w14:paraId="63FE1FD6">
      <w:pPr>
        <w:pStyle w:val="2"/>
        <w:spacing w:line="600" w:lineRule="exact"/>
        <w:ind w:firstLine="472" w:firstLineChars="200"/>
        <w:textAlignment w:val="center"/>
        <w:outlineLvl w:val="0"/>
        <w:rPr>
          <w:rFonts w:hint="eastAsia" w:cs="宋体"/>
          <w:spacing w:val="-2"/>
          <w:highlight w:val="none"/>
        </w:rPr>
      </w:pPr>
      <w:r>
        <w:rPr>
          <w:rFonts w:hint="eastAsia" w:cs="宋体"/>
          <w:spacing w:val="-2"/>
          <w:highlight w:val="none"/>
        </w:rPr>
        <w:t>3.1自合同签订之日起 30 个日历日内产品到货，并按照采购人要求完成安装部署及调试工作。</w:t>
      </w:r>
    </w:p>
    <w:p w14:paraId="405825B4">
      <w:pPr>
        <w:pStyle w:val="2"/>
        <w:spacing w:line="600" w:lineRule="exact"/>
        <w:ind w:firstLine="472" w:firstLineChars="200"/>
        <w:textAlignment w:val="center"/>
        <w:outlineLvl w:val="0"/>
        <w:rPr>
          <w:rFonts w:hint="eastAsia" w:cs="宋体"/>
          <w:spacing w:val="-2"/>
          <w:highlight w:val="none"/>
        </w:rPr>
      </w:pPr>
      <w:r>
        <w:rPr>
          <w:rFonts w:hint="eastAsia" w:cs="宋体"/>
          <w:spacing w:val="-2"/>
          <w:highlight w:val="none"/>
        </w:rPr>
        <w:t>3.2.</w:t>
      </w:r>
      <w:r>
        <w:rPr>
          <w:rFonts w:hint="eastAsia" w:cs="宋体"/>
          <w:spacing w:val="-1"/>
          <w:highlight w:val="none"/>
        </w:rPr>
        <w:t>本合同的履行地点为采购人所在地。</w:t>
      </w:r>
    </w:p>
    <w:p w14:paraId="5013606E">
      <w:pPr>
        <w:spacing w:line="560" w:lineRule="exact"/>
        <w:ind w:firstLine="480" w:firstLineChars="200"/>
        <w:contextualSpacing/>
        <w:outlineLvl w:val="1"/>
        <w:rPr>
          <w:rFonts w:hint="eastAsia" w:ascii="宋体" w:hAnsi="宋体" w:cs="宋体"/>
          <w:sz w:val="24"/>
          <w:highlight w:val="none"/>
        </w:rPr>
      </w:pPr>
      <w:r>
        <w:rPr>
          <w:rFonts w:hint="eastAsia" w:ascii="宋体" w:hAnsi="宋体" w:cs="宋体"/>
          <w:sz w:val="24"/>
          <w:highlight w:val="none"/>
        </w:rPr>
        <w:t>4.验收标准</w:t>
      </w:r>
    </w:p>
    <w:p w14:paraId="57B7DF34">
      <w:pPr>
        <w:spacing w:line="560" w:lineRule="exact"/>
        <w:ind w:firstLine="480" w:firstLineChars="200"/>
        <w:contextualSpacing/>
        <w:rPr>
          <w:rFonts w:hint="eastAsia" w:ascii="宋体" w:hAnsi="宋体" w:cs="宋体"/>
          <w:sz w:val="24"/>
          <w:highlight w:val="none"/>
        </w:rPr>
      </w:pPr>
      <w:r>
        <w:rPr>
          <w:rFonts w:hint="eastAsia" w:ascii="宋体" w:hAnsi="宋体" w:cs="宋体"/>
          <w:sz w:val="24"/>
          <w:highlight w:val="none"/>
        </w:rPr>
        <w:t>货物到达采购人指定地点安装调试、用户培训完成后，由中标人提出申请，采购人、中标人双方应共同进行验收是否符合合同的要求及标准，并应填写验收单。</w:t>
      </w:r>
    </w:p>
    <w:p w14:paraId="294A79BE">
      <w:pPr>
        <w:spacing w:line="560" w:lineRule="exact"/>
        <w:ind w:firstLine="480" w:firstLineChars="200"/>
        <w:contextualSpacing/>
        <w:rPr>
          <w:rFonts w:hint="eastAsia" w:ascii="宋体" w:hAnsi="宋体" w:cs="宋体"/>
          <w:sz w:val="24"/>
          <w:highlight w:val="none"/>
        </w:rPr>
      </w:pPr>
      <w:r>
        <w:rPr>
          <w:rFonts w:hint="eastAsia" w:ascii="宋体" w:hAnsi="宋体" w:cs="宋体"/>
          <w:sz w:val="24"/>
          <w:highlight w:val="none"/>
        </w:rPr>
        <w:t>4.1‌外观检查‌：包装应完好无损，无明显划痕、变形、脱漆等现象；连接口应齐全，无松动、生锈、接触不良等情况；标识应清晰可见，无模糊、脱落等情况‌。</w:t>
      </w:r>
    </w:p>
    <w:p w14:paraId="0F1CC3C6">
      <w:pPr>
        <w:spacing w:line="560" w:lineRule="exact"/>
        <w:ind w:firstLine="480" w:firstLineChars="200"/>
        <w:contextualSpacing/>
        <w:rPr>
          <w:rFonts w:hint="eastAsia" w:ascii="宋体" w:hAnsi="宋体" w:cs="宋体"/>
          <w:sz w:val="24"/>
          <w:highlight w:val="none"/>
        </w:rPr>
      </w:pPr>
      <w:r>
        <w:rPr>
          <w:rFonts w:hint="eastAsia" w:ascii="宋体" w:hAnsi="宋体" w:cs="宋体"/>
          <w:sz w:val="24"/>
          <w:highlight w:val="none"/>
        </w:rPr>
        <w:t>4.2‌功能测试‌：各项功能应能够正常开启、关闭、切换，无卡顿、死机、重启等现象；硬件设备应能够正常连接网络，无断线、信号不稳定等情况；外设设备应能够正常识别、使用，无驱动不兼容、无法识别等问题；预装软件满足所有功能要求，能够平稳高效运行‌。</w:t>
      </w:r>
    </w:p>
    <w:p w14:paraId="3B165B5C">
      <w:pPr>
        <w:spacing w:line="560" w:lineRule="exact"/>
        <w:ind w:firstLine="480" w:firstLineChars="200"/>
        <w:contextualSpacing/>
        <w:rPr>
          <w:rFonts w:hint="eastAsia" w:ascii="宋体" w:hAnsi="宋体" w:cs="宋体"/>
          <w:sz w:val="24"/>
          <w:highlight w:val="none"/>
        </w:rPr>
      </w:pPr>
      <w:r>
        <w:rPr>
          <w:rFonts w:hint="eastAsia" w:ascii="宋体" w:hAnsi="宋体" w:cs="宋体"/>
          <w:sz w:val="24"/>
          <w:highlight w:val="none"/>
        </w:rPr>
        <w:t>4.3‌性能评估‌：运行速度应符合预期要求，无明显卡顿、慢速现象；响应时间应短，无明显延迟、等待现象；稳定性应良好，无频繁死机、蓝屏等现象‌。</w:t>
      </w:r>
    </w:p>
    <w:p w14:paraId="118C6DB8">
      <w:pPr>
        <w:spacing w:line="560" w:lineRule="exact"/>
        <w:ind w:firstLine="480" w:firstLineChars="200"/>
        <w:contextualSpacing/>
        <w:rPr>
          <w:rFonts w:hint="eastAsia" w:ascii="宋体" w:hAnsi="宋体" w:cs="宋体"/>
          <w:sz w:val="24"/>
          <w:highlight w:val="none"/>
        </w:rPr>
      </w:pPr>
      <w:r>
        <w:rPr>
          <w:rFonts w:hint="eastAsia" w:ascii="宋体" w:hAnsi="宋体" w:cs="宋体"/>
          <w:sz w:val="24"/>
          <w:highlight w:val="none"/>
        </w:rPr>
        <w:t>4.4‌安全性检查‌：硬件设备无明显安全隐患；硬件设备应能够正常工作，不会对用户造成伤害‌。</w:t>
      </w:r>
    </w:p>
    <w:p w14:paraId="141F547B">
      <w:pPr>
        <w:numPr>
          <w:ilvl w:val="255"/>
          <w:numId w:val="0"/>
        </w:numPr>
        <w:spacing w:line="560" w:lineRule="exact"/>
        <w:ind w:firstLine="480" w:firstLineChars="200"/>
        <w:contextualSpacing/>
        <w:outlineLvl w:val="1"/>
        <w:rPr>
          <w:rFonts w:hint="eastAsia" w:ascii="宋体" w:hAnsi="宋体" w:cs="宋体"/>
          <w:sz w:val="24"/>
          <w:highlight w:val="none"/>
        </w:rPr>
      </w:pPr>
      <w:r>
        <w:rPr>
          <w:rFonts w:hint="eastAsia" w:ascii="宋体" w:hAnsi="宋体" w:cs="宋体"/>
          <w:sz w:val="24"/>
          <w:highlight w:val="none"/>
        </w:rPr>
        <w:t>5.产品培训</w:t>
      </w:r>
    </w:p>
    <w:p w14:paraId="09D6F229">
      <w:pPr>
        <w:numPr>
          <w:ilvl w:val="255"/>
          <w:numId w:val="0"/>
        </w:numPr>
        <w:spacing w:line="560" w:lineRule="exact"/>
        <w:ind w:firstLine="480" w:firstLineChars="200"/>
        <w:contextualSpacing/>
        <w:outlineLvl w:val="1"/>
        <w:rPr>
          <w:rFonts w:hint="eastAsia" w:ascii="宋体" w:hAnsi="宋体" w:cs="宋体"/>
          <w:sz w:val="24"/>
          <w:highlight w:val="none"/>
        </w:rPr>
      </w:pPr>
      <w:r>
        <w:rPr>
          <w:rFonts w:hint="eastAsia" w:ascii="宋体" w:hAnsi="宋体" w:cs="宋体"/>
          <w:sz w:val="24"/>
          <w:highlight w:val="none"/>
        </w:rPr>
        <w:t>提供远程或现场产品安装、实施、使用等方面的培训（所涉及费用包含在投标报价中）。</w:t>
      </w:r>
    </w:p>
    <w:p w14:paraId="6CD8DC4D">
      <w:pPr>
        <w:numPr>
          <w:ilvl w:val="255"/>
          <w:numId w:val="0"/>
        </w:numPr>
        <w:spacing w:line="560" w:lineRule="exact"/>
        <w:ind w:firstLine="480" w:firstLineChars="200"/>
        <w:contextualSpacing/>
        <w:outlineLvl w:val="1"/>
        <w:rPr>
          <w:rFonts w:hint="eastAsia" w:ascii="宋体" w:hAnsi="宋体" w:cs="宋体"/>
          <w:sz w:val="24"/>
          <w:highlight w:val="none"/>
        </w:rPr>
      </w:pPr>
      <w:r>
        <w:rPr>
          <w:rFonts w:hint="eastAsia" w:ascii="宋体" w:hAnsi="宋体" w:cs="宋体"/>
          <w:sz w:val="24"/>
          <w:highlight w:val="none"/>
        </w:rPr>
        <w:t>6.供应链协同保障方案</w:t>
      </w:r>
    </w:p>
    <w:p w14:paraId="335150FE">
      <w:pPr>
        <w:numPr>
          <w:ilvl w:val="255"/>
          <w:numId w:val="0"/>
        </w:numPr>
        <w:spacing w:line="560" w:lineRule="exact"/>
        <w:ind w:firstLine="480" w:firstLineChars="200"/>
        <w:contextualSpacing/>
        <w:outlineLvl w:val="1"/>
        <w:rPr>
          <w:rFonts w:hint="eastAsia" w:ascii="宋体" w:hAnsi="宋体" w:cs="宋体"/>
          <w:sz w:val="24"/>
          <w:highlight w:val="none"/>
        </w:rPr>
      </w:pPr>
      <w:r>
        <w:rPr>
          <w:rFonts w:hint="eastAsia" w:ascii="宋体" w:hAnsi="宋体" w:cs="宋体"/>
          <w:sz w:val="24"/>
          <w:highlight w:val="none"/>
        </w:rPr>
        <w:t>6.1发生故障时，提供 24 小时技术人员现场服务，及时排查故障原因，并组织技术力量及时解决故障。</w:t>
      </w:r>
    </w:p>
    <w:p w14:paraId="02BE0B69">
      <w:pPr>
        <w:spacing w:line="560" w:lineRule="exact"/>
        <w:ind w:firstLine="480" w:firstLineChars="200"/>
        <w:contextualSpacing/>
        <w:outlineLvl w:val="1"/>
        <w:rPr>
          <w:rFonts w:hint="eastAsia" w:ascii="宋体" w:hAnsi="宋体" w:cs="宋体"/>
          <w:sz w:val="24"/>
          <w:highlight w:val="none"/>
        </w:rPr>
      </w:pPr>
      <w:r>
        <w:rPr>
          <w:rFonts w:hint="eastAsia" w:ascii="宋体" w:hAnsi="宋体" w:cs="宋体"/>
          <w:sz w:val="24"/>
          <w:highlight w:val="none"/>
        </w:rPr>
        <w:t>6.2为保障系统的平稳运行与快速响应，为满足系统稳定运行，为各系统提供必要的技术支撑，中标人需组建质保期技术团队，通过线上线下形式提供良好的服务。根据现场情况及采购人要求，需要无条件增加技术力量协助解决系统出现的故障，提供业务保障。</w:t>
      </w:r>
    </w:p>
    <w:p w14:paraId="37D96D33">
      <w:pPr>
        <w:spacing w:line="560" w:lineRule="exact"/>
        <w:ind w:firstLine="480" w:firstLineChars="200"/>
        <w:contextualSpacing/>
        <w:outlineLvl w:val="1"/>
        <w:rPr>
          <w:rFonts w:hint="eastAsia" w:ascii="宋体" w:hAnsi="宋体" w:cs="宋体"/>
          <w:sz w:val="24"/>
          <w:highlight w:val="none"/>
        </w:rPr>
      </w:pPr>
      <w:r>
        <w:rPr>
          <w:rFonts w:hint="eastAsia" w:ascii="宋体" w:hAnsi="宋体" w:cs="宋体"/>
          <w:sz w:val="24"/>
          <w:highlight w:val="none"/>
        </w:rPr>
        <w:t>7售后服务体系</w:t>
      </w:r>
    </w:p>
    <w:p w14:paraId="5182B330">
      <w:pPr>
        <w:spacing w:line="560" w:lineRule="exact"/>
        <w:ind w:firstLine="480" w:firstLineChars="200"/>
        <w:contextualSpacing/>
        <w:outlineLvl w:val="1"/>
        <w:rPr>
          <w:rFonts w:hint="eastAsia" w:ascii="宋体" w:hAnsi="宋体" w:cs="宋体"/>
          <w:sz w:val="24"/>
          <w:highlight w:val="none"/>
        </w:rPr>
      </w:pPr>
      <w:r>
        <w:rPr>
          <w:rFonts w:hint="eastAsia" w:ascii="宋体" w:hAnsi="宋体" w:cs="宋体"/>
          <w:sz w:val="24"/>
          <w:highlight w:val="none"/>
        </w:rPr>
        <w:t>投标人应制定详细的售后服务方案，具体内容包括：</w:t>
      </w:r>
    </w:p>
    <w:p w14:paraId="4D059C58">
      <w:pPr>
        <w:spacing w:line="560" w:lineRule="exact"/>
        <w:ind w:firstLine="480" w:firstLineChars="200"/>
        <w:contextualSpacing/>
        <w:outlineLvl w:val="1"/>
        <w:rPr>
          <w:rFonts w:hint="eastAsia" w:ascii="宋体" w:hAnsi="宋体" w:cs="宋体"/>
          <w:sz w:val="24"/>
          <w:highlight w:val="none"/>
        </w:rPr>
      </w:pPr>
      <w:r>
        <w:rPr>
          <w:rFonts w:hint="eastAsia" w:ascii="宋体" w:hAnsi="宋体" w:cs="宋体"/>
          <w:sz w:val="24"/>
          <w:highlight w:val="none"/>
        </w:rPr>
        <w:t>7.1建立售后服务体系，明确服务于本合同项目的售后服务机构、专业技术人员、售后服务联系方式，技术支持和售后服务的方式包括电话支持、远程网络支持、现场支持等多种组织形式：</w:t>
      </w:r>
    </w:p>
    <w:p w14:paraId="1BCB5B88">
      <w:pPr>
        <w:spacing w:line="560" w:lineRule="exact"/>
        <w:ind w:firstLine="480" w:firstLineChars="200"/>
        <w:contextualSpacing/>
        <w:outlineLvl w:val="1"/>
        <w:rPr>
          <w:rFonts w:hint="eastAsia" w:ascii="宋体" w:hAnsi="宋体" w:cs="宋体"/>
          <w:sz w:val="24"/>
          <w:highlight w:val="none"/>
        </w:rPr>
      </w:pPr>
      <w:r>
        <w:rPr>
          <w:rFonts w:hint="eastAsia" w:ascii="宋体" w:hAnsi="宋体" w:cs="宋体"/>
          <w:sz w:val="24"/>
          <w:highlight w:val="none"/>
        </w:rPr>
        <w:t>7.2电话和远程网络支持：对于产品过程中产生的非故障类问题，设有专门的售后服务电话提供电话咨询服务，专业人员接听并及时做好反馈记录，并及时提供解决问题的方法；</w:t>
      </w:r>
    </w:p>
    <w:p w14:paraId="428295AF">
      <w:pPr>
        <w:spacing w:line="560" w:lineRule="exact"/>
        <w:ind w:firstLine="480" w:firstLineChars="200"/>
        <w:contextualSpacing/>
        <w:outlineLvl w:val="1"/>
        <w:rPr>
          <w:rFonts w:hint="eastAsia" w:ascii="宋体" w:hAnsi="宋体" w:cs="宋体"/>
          <w:sz w:val="24"/>
          <w:highlight w:val="none"/>
        </w:rPr>
      </w:pPr>
      <w:r>
        <w:rPr>
          <w:rFonts w:hint="eastAsia" w:ascii="宋体" w:hAnsi="宋体" w:cs="宋体"/>
          <w:sz w:val="24"/>
          <w:highlight w:val="none"/>
        </w:rPr>
        <w:t>7.3现场支持：如果不能通过电话支持服务解决产品发生的技术故障，经双方商议确认需要进行现场支持的情况下，投标人应在 24 小时之内安排相关专业人员到指定地点进行及时指导。</w:t>
      </w:r>
    </w:p>
    <w:p w14:paraId="1E6E8914">
      <w:pPr>
        <w:spacing w:line="560" w:lineRule="exact"/>
        <w:ind w:firstLine="480" w:firstLineChars="200"/>
        <w:contextualSpacing/>
        <w:outlineLvl w:val="1"/>
        <w:rPr>
          <w:rFonts w:hint="eastAsia" w:ascii="宋体" w:hAnsi="宋体" w:cs="宋体"/>
          <w:sz w:val="24"/>
          <w:highlight w:val="none"/>
        </w:rPr>
      </w:pPr>
      <w:r>
        <w:rPr>
          <w:rFonts w:hint="eastAsia" w:ascii="宋体" w:hAnsi="宋体" w:cs="宋体"/>
          <w:sz w:val="24"/>
          <w:highlight w:val="none"/>
        </w:rPr>
        <w:t>7.4定期派专业人员到业主处查看产品使用效果；质量保证期内所涉及费 用均包含在投标报价中；提供质量保证期满后的售后服务内容以及费用收取标准。</w:t>
      </w:r>
    </w:p>
    <w:p w14:paraId="08DA125F">
      <w:pPr>
        <w:spacing w:line="560" w:lineRule="exact"/>
        <w:ind w:firstLine="480" w:firstLineChars="200"/>
        <w:contextualSpacing/>
        <w:outlineLvl w:val="1"/>
        <w:rPr>
          <w:rFonts w:hint="eastAsia" w:ascii="宋体" w:hAnsi="宋体" w:cs="宋体"/>
          <w:sz w:val="24"/>
          <w:highlight w:val="none"/>
        </w:rPr>
      </w:pPr>
      <w:r>
        <w:rPr>
          <w:rFonts w:hint="eastAsia" w:ascii="宋体" w:hAnsi="宋体" w:cs="宋体"/>
          <w:sz w:val="24"/>
          <w:highlight w:val="none"/>
        </w:rPr>
        <w:t>8.其他要求</w:t>
      </w:r>
    </w:p>
    <w:p w14:paraId="3186EA8A">
      <w:pPr>
        <w:rPr>
          <w:highlight w:val="none"/>
        </w:rPr>
      </w:pPr>
      <w:r>
        <w:rPr>
          <w:rFonts w:hint="eastAsia" w:ascii="宋体" w:hAnsi="宋体" w:cs="宋体"/>
          <w:sz w:val="24"/>
          <w:highlight w:val="none"/>
        </w:rPr>
        <w:t>投标人需接受采购人对采购工作的监督、检查，记录设备采购相关到货工作事项、需负责向采购人提交规范、完整、真实、准确的数据和文档。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4"/>
    <w:multiLevelType w:val="multilevel"/>
    <w:tmpl w:val="00000014"/>
    <w:lvl w:ilvl="0" w:tentative="0">
      <w:start w:val="1"/>
      <w:numFmt w:val="decimal"/>
      <w:pStyle w:val="9"/>
      <w:lvlText w:val="%1."/>
      <w:lvlJc w:val="left"/>
      <w:pPr>
        <w:tabs>
          <w:tab w:val="left" w:pos="709"/>
        </w:tabs>
        <w:ind w:left="709" w:hanging="709"/>
      </w:pPr>
    </w:lvl>
    <w:lvl w:ilvl="1" w:tentative="0">
      <w:start w:val="1"/>
      <w:numFmt w:val="decimal"/>
      <w:lvlText w:val="%1.%2"/>
      <w:lvlJc w:val="left"/>
      <w:pPr>
        <w:tabs>
          <w:tab w:val="left" w:pos="709"/>
        </w:tabs>
        <w:ind w:left="709" w:hanging="709"/>
      </w:pPr>
      <w:rPr>
        <w:rFonts w:hint="eastAsia" w:ascii="宋体" w:hAnsi="宋体" w:eastAsia="宋体"/>
        <w:b w:val="0"/>
        <w:color w:val="auto"/>
        <w:sz w:val="21"/>
        <w:szCs w:val="21"/>
      </w:rPr>
    </w:lvl>
    <w:lvl w:ilvl="2" w:tentative="0">
      <w:start w:val="1"/>
      <w:numFmt w:val="decimal"/>
      <w:lvlText w:val="%1.%2.%3."/>
      <w:lvlJc w:val="left"/>
      <w:pPr>
        <w:tabs>
          <w:tab w:val="left" w:pos="425"/>
        </w:tabs>
        <w:ind w:left="425" w:hanging="425"/>
      </w:pPr>
      <w:rPr>
        <w:sz w:val="21"/>
        <w:szCs w:val="21"/>
      </w:rPr>
    </w:lvl>
    <w:lvl w:ilvl="3" w:tentative="0">
      <w:start w:val="1"/>
      <w:numFmt w:val="decimal"/>
      <w:lvlText w:val="%1.%2.%3.%4."/>
      <w:lvlJc w:val="left"/>
      <w:pPr>
        <w:tabs>
          <w:tab w:val="left" w:pos="851"/>
        </w:tabs>
        <w:ind w:left="851" w:hanging="851"/>
      </w:p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</w:lvl>
  </w:abstractNum>
  <w:abstractNum w:abstractNumId="1">
    <w:nsid w:val="13851098"/>
    <w:multiLevelType w:val="multilevel"/>
    <w:tmpl w:val="13851098"/>
    <w:lvl w:ilvl="0" w:tentative="0">
      <w:start w:val="1"/>
      <w:numFmt w:val="japaneseCounting"/>
      <w:lvlText w:val="%1、"/>
      <w:lvlJc w:val="left"/>
      <w:pPr>
        <w:ind w:left="500" w:hanging="50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9B136F"/>
    <w:rsid w:val="1C100790"/>
    <w:rsid w:val="64214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customStyle="1" w:styleId="3">
    <w:name w:val="目录 11"/>
    <w:next w:val="1"/>
    <w:qFormat/>
    <w:uiPriority w:val="0"/>
    <w:pPr>
      <w:wordWrap w:val="0"/>
      <w:spacing w:after="160" w:line="278" w:lineRule="auto"/>
      <w:jc w:val="both"/>
    </w:pPr>
    <w:rPr>
      <w:rFonts w:ascii="Calibri" w:hAnsi="Calibri" w:eastAsia="宋体" w:cs="Calibri"/>
      <w:sz w:val="21"/>
      <w:szCs w:val="22"/>
      <w:lang w:val="en-US" w:eastAsia="zh-CN" w:bidi="ar-SA"/>
    </w:rPr>
  </w:style>
  <w:style w:type="character" w:styleId="6">
    <w:name w:val="Hyperlink"/>
    <w:qFormat/>
    <w:uiPriority w:val="99"/>
    <w:rPr>
      <w:color w:val="0000FF"/>
      <w:u w:val="single"/>
    </w:rPr>
  </w:style>
  <w:style w:type="character" w:styleId="7">
    <w:name w:val="annotation reference"/>
    <w:qFormat/>
    <w:uiPriority w:val="99"/>
    <w:rPr>
      <w:sz w:val="21"/>
      <w:szCs w:val="21"/>
    </w:rPr>
  </w:style>
  <w:style w:type="paragraph" w:styleId="8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9">
    <w:name w:val="样式1"/>
    <w:basedOn w:val="1"/>
    <w:qFormat/>
    <w:uiPriority w:val="0"/>
    <w:pPr>
      <w:numPr>
        <w:ilvl w:val="0"/>
        <w:numId w:val="1"/>
      </w:numPr>
      <w:spacing w:line="240" w:lineRule="auto"/>
    </w:pPr>
    <w:rPr>
      <w:rFonts w:ascii="宋体" w:hAnsi="宋体"/>
      <w:sz w:val="2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42</Pages>
  <Words>310</Words>
  <Characters>328</Characters>
  <Lines>0</Lines>
  <Paragraphs>0</Paragraphs>
  <TotalTime>0</TotalTime>
  <ScaleCrop>false</ScaleCrop>
  <LinksUpToDate>false</LinksUpToDate>
  <CharactersWithSpaces>328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2026-11-03T07:33:00Z</dcterms:created>
  <dc:creator>luozhao</dc:creator>
  <cp:lastModifiedBy>LZ</cp:lastModifiedBy>
  <dcterms:modified xsi:type="dcterms:W3CDTF">2026-11-03T08:13:41Z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KSOTemplateDocerSaveRecord">
    <vt:lpwstr>eyJoZGlkIjoiYWYwMGRlZTcyOWNjODRjYzgxOTBkZGNlN2RkNzY1MGEiLCJ1c2VySWQiOiIxNTUxNTE4MDk2In0=</vt:lpwstr>
  </property>
  <property fmtid="{D5CDD505-2E9C-101B-9397-08002B2CF9AE}" pid="4" name="ICV">
    <vt:lpwstr>C2FD2CDFE93941F7A15A418180BB9D68_12</vt:lpwstr>
  </property>
</Properties>
</file>